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065"/>
        <w:gridCol w:w="7285"/>
      </w:tblGrid>
      <w:tr w:rsidR="00430877" w14:paraId="2B0C621F" w14:textId="77777777" w:rsidTr="00430877">
        <w:tc>
          <w:tcPr>
            <w:tcW w:w="2065" w:type="dxa"/>
          </w:tcPr>
          <w:p w14:paraId="03B60A89" w14:textId="27D34356" w:rsidR="00430877" w:rsidRPr="0020444A" w:rsidRDefault="008D0E3B" w:rsidP="0020444A">
            <w:pPr>
              <w:rPr>
                <w:b/>
                <w:color w:val="4F81BD" w:themeColor="accent1"/>
                <w:sz w:val="24"/>
                <w:szCs w:val="24"/>
              </w:rPr>
            </w:pPr>
            <w:r w:rsidRPr="0020444A">
              <w:rPr>
                <w:b/>
                <w:sz w:val="24"/>
                <w:szCs w:val="24"/>
              </w:rPr>
              <w:t>Pro</w:t>
            </w:r>
            <w:r w:rsidR="00ED123D" w:rsidRPr="0020444A">
              <w:rPr>
                <w:b/>
                <w:sz w:val="24"/>
                <w:szCs w:val="24"/>
              </w:rPr>
              <w:t xml:space="preserve">vider </w:t>
            </w:r>
          </w:p>
        </w:tc>
        <w:tc>
          <w:tcPr>
            <w:tcW w:w="7285" w:type="dxa"/>
          </w:tcPr>
          <w:p w14:paraId="79BEE2B6" w14:textId="75ADD2BB" w:rsidR="00430877" w:rsidRDefault="00F15C2A" w:rsidP="00E43412">
            <w:pPr>
              <w:rPr>
                <w:color w:val="4F81BD" w:themeColor="accent1"/>
                <w:sz w:val="28"/>
                <w:szCs w:val="28"/>
              </w:rPr>
            </w:pPr>
            <w:r>
              <w:rPr>
                <w:color w:val="4F81BD" w:themeColor="accent1"/>
                <w:sz w:val="28"/>
                <w:szCs w:val="28"/>
              </w:rPr>
              <w:fldChar w:fldCharType="begin">
                <w:ffData>
                  <w:name w:val="Text1"/>
                  <w:enabled/>
                  <w:calcOnExit w:val="0"/>
                  <w:textInput/>
                </w:ffData>
              </w:fldChar>
            </w:r>
            <w:bookmarkStart w:id="0" w:name="Text1"/>
            <w:r>
              <w:rPr>
                <w:color w:val="4F81BD" w:themeColor="accent1"/>
                <w:sz w:val="28"/>
                <w:szCs w:val="28"/>
              </w:rPr>
              <w:instrText xml:space="preserve"> FORMTEXT </w:instrText>
            </w:r>
            <w:r>
              <w:rPr>
                <w:color w:val="4F81BD" w:themeColor="accent1"/>
                <w:sz w:val="28"/>
                <w:szCs w:val="28"/>
              </w:rPr>
            </w:r>
            <w:r>
              <w:rPr>
                <w:color w:val="4F81BD" w:themeColor="accent1"/>
                <w:sz w:val="28"/>
                <w:szCs w:val="28"/>
              </w:rPr>
              <w:fldChar w:fldCharType="separate"/>
            </w:r>
            <w:r>
              <w:rPr>
                <w:noProof/>
                <w:color w:val="4F81BD" w:themeColor="accent1"/>
                <w:sz w:val="28"/>
                <w:szCs w:val="28"/>
              </w:rPr>
              <w:t> </w:t>
            </w:r>
            <w:r>
              <w:rPr>
                <w:noProof/>
                <w:color w:val="4F81BD" w:themeColor="accent1"/>
                <w:sz w:val="28"/>
                <w:szCs w:val="28"/>
              </w:rPr>
              <w:t> </w:t>
            </w:r>
            <w:r>
              <w:rPr>
                <w:noProof/>
                <w:color w:val="4F81BD" w:themeColor="accent1"/>
                <w:sz w:val="28"/>
                <w:szCs w:val="28"/>
              </w:rPr>
              <w:t> </w:t>
            </w:r>
            <w:r>
              <w:rPr>
                <w:noProof/>
                <w:color w:val="4F81BD" w:themeColor="accent1"/>
                <w:sz w:val="28"/>
                <w:szCs w:val="28"/>
              </w:rPr>
              <w:t> </w:t>
            </w:r>
            <w:r>
              <w:rPr>
                <w:noProof/>
                <w:color w:val="4F81BD" w:themeColor="accent1"/>
                <w:sz w:val="28"/>
                <w:szCs w:val="28"/>
              </w:rPr>
              <w:t> </w:t>
            </w:r>
            <w:r>
              <w:rPr>
                <w:color w:val="4F81BD" w:themeColor="accent1"/>
                <w:sz w:val="28"/>
                <w:szCs w:val="28"/>
              </w:rPr>
              <w:fldChar w:fldCharType="end"/>
            </w:r>
            <w:bookmarkEnd w:id="0"/>
          </w:p>
        </w:tc>
      </w:tr>
    </w:tbl>
    <w:p w14:paraId="1897B532" w14:textId="77777777" w:rsidR="00430877" w:rsidRDefault="00430877" w:rsidP="00E43412">
      <w:pPr>
        <w:spacing w:after="0" w:line="240" w:lineRule="auto"/>
        <w:rPr>
          <w:color w:val="4F81BD" w:themeColor="accent1"/>
          <w:sz w:val="28"/>
          <w:szCs w:val="28"/>
        </w:rPr>
      </w:pPr>
    </w:p>
    <w:p w14:paraId="50D3B4A8" w14:textId="06EB68D2" w:rsidR="005D6697" w:rsidRPr="00195FE3" w:rsidRDefault="008E2584" w:rsidP="00E43412">
      <w:pPr>
        <w:spacing w:after="0" w:line="240" w:lineRule="auto"/>
        <w:rPr>
          <w:b/>
          <w:sz w:val="28"/>
          <w:szCs w:val="28"/>
        </w:rPr>
      </w:pPr>
      <w:r w:rsidRPr="00195FE3">
        <w:rPr>
          <w:b/>
          <w:sz w:val="28"/>
          <w:szCs w:val="28"/>
        </w:rPr>
        <w:t>Candidate Quality</w:t>
      </w:r>
      <w:r w:rsidR="00ED123D" w:rsidRPr="00195FE3">
        <w:rPr>
          <w:b/>
          <w:sz w:val="28"/>
          <w:szCs w:val="28"/>
        </w:rPr>
        <w:t xml:space="preserve"> and Recruitment</w:t>
      </w:r>
    </w:p>
    <w:p w14:paraId="66C4727E" w14:textId="77777777" w:rsidR="004368F5" w:rsidRDefault="004368F5" w:rsidP="004368F5">
      <w:pPr>
        <w:spacing w:after="0"/>
      </w:pPr>
    </w:p>
    <w:p w14:paraId="4A4A5D87" w14:textId="13674A06" w:rsidR="008B6FB1" w:rsidRDefault="00F53ABA" w:rsidP="008B6FB1">
      <w:pPr>
        <w:spacing w:after="0" w:line="240" w:lineRule="auto"/>
      </w:pPr>
      <w:r>
        <w:rPr>
          <w:b/>
        </w:rPr>
        <w:t>DIRECTIONS:</w:t>
      </w:r>
      <w:r w:rsidR="008B6FB1" w:rsidRPr="004758A3">
        <w:t xml:space="preserve"> </w:t>
      </w:r>
      <w:r>
        <w:t xml:space="preserve"> </w:t>
      </w:r>
      <w:r w:rsidR="00AC6501">
        <w:t>A</w:t>
      </w:r>
      <w:r w:rsidR="008B6FB1" w:rsidRPr="004758A3">
        <w:t xml:space="preserve">ddress the </w:t>
      </w:r>
      <w:r w:rsidR="00451BA6">
        <w:t xml:space="preserve">prompts in the space provided.  Please reference specific examples in your </w:t>
      </w:r>
      <w:r w:rsidR="008B6FB1" w:rsidRPr="004758A3">
        <w:t>accompanying evidence sources where appropriate.</w:t>
      </w:r>
      <w:r w:rsidR="00DF6A06">
        <w:t xml:space="preserve"> </w:t>
      </w:r>
      <w:r w:rsidR="005B7FEA">
        <w:t xml:space="preserve"> </w:t>
      </w:r>
      <w:r w:rsidR="008B6FB1">
        <w:t>Bulle</w:t>
      </w:r>
      <w:r w:rsidR="005B7FEA">
        <w:t>ts or brief text is acceptable.</w:t>
      </w:r>
      <w:r w:rsidR="008B6FB1">
        <w:t xml:space="preserve"> </w:t>
      </w:r>
      <w:r w:rsidR="00AC6501">
        <w:t xml:space="preserve"> L</w:t>
      </w:r>
      <w:r w:rsidR="005B7FEA">
        <w:t xml:space="preserve">imit your response to </w:t>
      </w:r>
      <w:r w:rsidR="00F15C2A">
        <w:t>about 20</w:t>
      </w:r>
      <w:r w:rsidR="005B7FEA">
        <w:t xml:space="preserve">0 words </w:t>
      </w:r>
      <w:r w:rsidR="00451BA6">
        <w:t>per prompt</w:t>
      </w:r>
      <w:r w:rsidR="005B7FEA">
        <w:t>.</w:t>
      </w:r>
    </w:p>
    <w:p w14:paraId="49B75DC5" w14:textId="77777777" w:rsidR="00195FE3" w:rsidRPr="00537885" w:rsidRDefault="00195FE3" w:rsidP="00AC6501">
      <w:pPr>
        <w:spacing w:after="0" w:line="240" w:lineRule="auto"/>
      </w:pPr>
    </w:p>
    <w:tbl>
      <w:tblPr>
        <w:tblStyle w:val="TableGrid"/>
        <w:tblW w:w="5000" w:type="pct"/>
        <w:shd w:val="clear" w:color="auto" w:fill="DBE5F1" w:themeFill="accent1" w:themeFillTint="33"/>
        <w:tblLook w:val="04A0" w:firstRow="1" w:lastRow="0" w:firstColumn="1" w:lastColumn="0" w:noHBand="0" w:noVBand="1"/>
      </w:tblPr>
      <w:tblGrid>
        <w:gridCol w:w="9350"/>
      </w:tblGrid>
      <w:tr w:rsidR="00A704DD" w14:paraId="6C1F2331" w14:textId="77777777" w:rsidTr="00FD20B8">
        <w:tc>
          <w:tcPr>
            <w:tcW w:w="5000" w:type="pct"/>
            <w:shd w:val="clear" w:color="auto" w:fill="DBE5F1" w:themeFill="accent1" w:themeFillTint="33"/>
          </w:tcPr>
          <w:p w14:paraId="1363862D" w14:textId="7D340007" w:rsidR="00A704DD" w:rsidRPr="00B537F5" w:rsidRDefault="00F15C2A" w:rsidP="004368F5">
            <w:r w:rsidRPr="00F15C2A">
              <w:rPr>
                <w:b/>
              </w:rPr>
              <w:t>Promp</w:t>
            </w:r>
            <w:r>
              <w:rPr>
                <w:b/>
              </w:rPr>
              <w:t>t 1</w:t>
            </w:r>
            <w:r w:rsidRPr="00F15C2A">
              <w:rPr>
                <w:b/>
              </w:rPr>
              <w:t>:</w:t>
            </w:r>
            <w:r>
              <w:t xml:space="preserve"> </w:t>
            </w:r>
            <w:r w:rsidR="00A704DD" w:rsidRPr="00B537F5">
              <w:t xml:space="preserve">Explain where and how </w:t>
            </w:r>
            <w:r w:rsidR="0020444A">
              <w:t xml:space="preserve">the provider ensures that </w:t>
            </w:r>
            <w:r w:rsidR="00A704DD" w:rsidRPr="00B537F5">
              <w:t>programs integrate diverse candidate experiences to benefit the learning and growth of the collect</w:t>
            </w:r>
            <w:r w:rsidR="00C60A21" w:rsidRPr="00B537F5">
              <w:t xml:space="preserve">ive cohort.  (3.1)  </w:t>
            </w:r>
          </w:p>
        </w:tc>
      </w:tr>
      <w:tr w:rsidR="00A704DD" w14:paraId="59E4694B" w14:textId="77777777" w:rsidTr="00C60A21">
        <w:tc>
          <w:tcPr>
            <w:tcW w:w="5000" w:type="pct"/>
            <w:shd w:val="clear" w:color="auto" w:fill="FFFFFF" w:themeFill="background1"/>
          </w:tcPr>
          <w:p w14:paraId="1A5F6CFA" w14:textId="1BD31E4E" w:rsidR="00B537F5" w:rsidRPr="00B537F5" w:rsidRDefault="00F15C2A" w:rsidP="00C11B6D">
            <w:pPr>
              <w:spacing w:line="360" w:lineRule="auto"/>
            </w:pPr>
            <w:r>
              <w:fldChar w:fldCharType="begin">
                <w:ffData>
                  <w:name w:val="Text7"/>
                  <w:enabled/>
                  <w:calcOnExit w:val="0"/>
                  <w:textInput>
                    <w:maxLength w:val="1500"/>
                  </w:textInput>
                </w:ffData>
              </w:fldChar>
            </w:r>
            <w:bookmarkStart w:id="1" w:name="Text7"/>
            <w:r>
              <w:instrText xml:space="preserve"> FORMTEXT </w:instrText>
            </w:r>
            <w:r>
              <w:fldChar w:fldCharType="separate"/>
            </w:r>
            <w:bookmarkStart w:id="2" w:name="_GoBack"/>
            <w:bookmarkEnd w:id="2"/>
            <w:r>
              <w:rPr>
                <w:noProof/>
              </w:rPr>
              <w:t> </w:t>
            </w:r>
            <w:r>
              <w:rPr>
                <w:noProof/>
              </w:rPr>
              <w:t> </w:t>
            </w:r>
            <w:r>
              <w:rPr>
                <w:noProof/>
              </w:rPr>
              <w:t> </w:t>
            </w:r>
            <w:r>
              <w:rPr>
                <w:noProof/>
              </w:rPr>
              <w:t> </w:t>
            </w:r>
            <w:r>
              <w:rPr>
                <w:noProof/>
              </w:rPr>
              <w:t> </w:t>
            </w:r>
            <w:r>
              <w:fldChar w:fldCharType="end"/>
            </w:r>
            <w:bookmarkEnd w:id="1"/>
          </w:p>
        </w:tc>
      </w:tr>
    </w:tbl>
    <w:p w14:paraId="30C30A8F" w14:textId="77777777" w:rsidR="00B67867" w:rsidRDefault="00B67867" w:rsidP="0020444A">
      <w:pPr>
        <w:spacing w:after="0" w:line="240" w:lineRule="auto"/>
        <w:rPr>
          <w:b/>
          <w:sz w:val="24"/>
          <w:szCs w:val="24"/>
        </w:rPr>
      </w:pPr>
    </w:p>
    <w:tbl>
      <w:tblPr>
        <w:tblStyle w:val="TableGrid"/>
        <w:tblW w:w="5000" w:type="pct"/>
        <w:shd w:val="clear" w:color="auto" w:fill="DBE5F1" w:themeFill="accent1" w:themeFillTint="33"/>
        <w:tblLook w:val="04A0" w:firstRow="1" w:lastRow="0" w:firstColumn="1" w:lastColumn="0" w:noHBand="0" w:noVBand="1"/>
      </w:tblPr>
      <w:tblGrid>
        <w:gridCol w:w="9350"/>
      </w:tblGrid>
      <w:tr w:rsidR="00B67867" w14:paraId="5126FAA4" w14:textId="77777777" w:rsidTr="00551A2E">
        <w:tc>
          <w:tcPr>
            <w:tcW w:w="5000" w:type="pct"/>
            <w:shd w:val="clear" w:color="auto" w:fill="DBE5F1" w:themeFill="accent1" w:themeFillTint="33"/>
          </w:tcPr>
          <w:p w14:paraId="0844C42F" w14:textId="77777777" w:rsidR="00B67867" w:rsidRPr="00B537F5" w:rsidRDefault="00B67867" w:rsidP="00551A2E">
            <w:r w:rsidRPr="00F15C2A">
              <w:rPr>
                <w:b/>
              </w:rPr>
              <w:t>Promp</w:t>
            </w:r>
            <w:r>
              <w:rPr>
                <w:b/>
              </w:rPr>
              <w:t>t 2</w:t>
            </w:r>
            <w:r w:rsidRPr="00F15C2A">
              <w:rPr>
                <w:b/>
              </w:rPr>
              <w:t>:</w:t>
            </w:r>
            <w:r>
              <w:t xml:space="preserve"> </w:t>
            </w:r>
            <w:r w:rsidRPr="00B537F5">
              <w:t xml:space="preserve">Identify resources, expectations, and protocols for informing candidates about employment prospects.  </w:t>
            </w:r>
            <w:r>
              <w:t>Identify</w:t>
            </w:r>
            <w:r w:rsidRPr="00B537F5">
              <w:t xml:space="preserve"> specific program efforts tailored to the goal of making program completers more competitive for employment.  (3.2)</w:t>
            </w:r>
          </w:p>
        </w:tc>
      </w:tr>
      <w:tr w:rsidR="00B67867" w14:paraId="0C62C2C7" w14:textId="77777777" w:rsidTr="00551A2E">
        <w:tc>
          <w:tcPr>
            <w:tcW w:w="5000" w:type="pct"/>
            <w:shd w:val="clear" w:color="auto" w:fill="FFFFFF" w:themeFill="background1"/>
          </w:tcPr>
          <w:p w14:paraId="5F6A4EED" w14:textId="77777777" w:rsidR="00B67867" w:rsidRPr="00B537F5" w:rsidRDefault="00B67867" w:rsidP="00551A2E">
            <w:pPr>
              <w:spacing w:line="360" w:lineRule="auto"/>
            </w:pPr>
            <w:r>
              <w:fldChar w:fldCharType="begin">
                <w:ffData>
                  <w:name w:val="Text6"/>
                  <w:enabled/>
                  <w:calcOnExit w:val="0"/>
                  <w:textInput>
                    <w:maxLength w:val="150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37DD9414" w14:textId="74BC4B41" w:rsidR="00B67867" w:rsidRDefault="00B67867" w:rsidP="0020444A">
      <w:pPr>
        <w:spacing w:after="0" w:line="240" w:lineRule="auto"/>
        <w:rPr>
          <w:b/>
          <w:sz w:val="24"/>
          <w:szCs w:val="24"/>
        </w:rPr>
      </w:pPr>
    </w:p>
    <w:tbl>
      <w:tblPr>
        <w:tblStyle w:val="TableGrid"/>
        <w:tblW w:w="5000" w:type="pct"/>
        <w:shd w:val="clear" w:color="auto" w:fill="DBE5F1" w:themeFill="accent1" w:themeFillTint="33"/>
        <w:tblLook w:val="04A0" w:firstRow="1" w:lastRow="0" w:firstColumn="1" w:lastColumn="0" w:noHBand="0" w:noVBand="1"/>
      </w:tblPr>
      <w:tblGrid>
        <w:gridCol w:w="9350"/>
      </w:tblGrid>
      <w:tr w:rsidR="00B67867" w14:paraId="50BA81F8" w14:textId="77777777" w:rsidTr="00551A2E">
        <w:tc>
          <w:tcPr>
            <w:tcW w:w="5000" w:type="pct"/>
            <w:shd w:val="clear" w:color="auto" w:fill="DBE5F1" w:themeFill="accent1" w:themeFillTint="33"/>
          </w:tcPr>
          <w:p w14:paraId="38EF55C7" w14:textId="77777777" w:rsidR="00B67867" w:rsidRPr="00B537F5" w:rsidRDefault="00B67867" w:rsidP="00551A2E">
            <w:r w:rsidRPr="00F15C2A">
              <w:rPr>
                <w:b/>
              </w:rPr>
              <w:t>Promp</w:t>
            </w:r>
            <w:r>
              <w:rPr>
                <w:b/>
              </w:rPr>
              <w:t>t 3</w:t>
            </w:r>
            <w:r w:rsidRPr="00F15C2A">
              <w:rPr>
                <w:b/>
              </w:rPr>
              <w:t>:</w:t>
            </w:r>
            <w:r>
              <w:t xml:space="preserve"> </w:t>
            </w:r>
            <w:r w:rsidRPr="00B537F5">
              <w:t xml:space="preserve">Identify and explain </w:t>
            </w:r>
            <w:r>
              <w:t xml:space="preserve">the </w:t>
            </w:r>
            <w:r w:rsidRPr="00B537F5">
              <w:t xml:space="preserve">rationale for your conditional acceptance alternative criteria.  (3.3) </w:t>
            </w:r>
          </w:p>
        </w:tc>
      </w:tr>
      <w:tr w:rsidR="00B67867" w14:paraId="39E1D4DC" w14:textId="77777777" w:rsidTr="00551A2E">
        <w:tc>
          <w:tcPr>
            <w:tcW w:w="5000" w:type="pct"/>
            <w:shd w:val="clear" w:color="auto" w:fill="FFFFFF" w:themeFill="background1"/>
          </w:tcPr>
          <w:p w14:paraId="1E18D64C" w14:textId="77777777" w:rsidR="00B67867" w:rsidRPr="00B537F5" w:rsidRDefault="00B67867" w:rsidP="00551A2E">
            <w:pPr>
              <w:spacing w:line="360" w:lineRule="auto"/>
            </w:pPr>
            <w:r>
              <w:fldChar w:fldCharType="begin">
                <w:ffData>
                  <w:name w:val="Text5"/>
                  <w:enabled/>
                  <w:calcOnExit w:val="0"/>
                  <w:textInput>
                    <w:maxLength w:val="150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769FEE20" w14:textId="6C57274B" w:rsidR="00B67867" w:rsidRDefault="00B67867" w:rsidP="0020444A">
      <w:pPr>
        <w:spacing w:after="0" w:line="240" w:lineRule="auto"/>
        <w:rPr>
          <w:b/>
          <w:sz w:val="24"/>
          <w:szCs w:val="24"/>
        </w:rPr>
      </w:pPr>
    </w:p>
    <w:tbl>
      <w:tblPr>
        <w:tblStyle w:val="TableGrid"/>
        <w:tblW w:w="5000" w:type="pct"/>
        <w:shd w:val="clear" w:color="auto" w:fill="DBE5F1" w:themeFill="accent1" w:themeFillTint="33"/>
        <w:tblLook w:val="04A0" w:firstRow="1" w:lastRow="0" w:firstColumn="1" w:lastColumn="0" w:noHBand="0" w:noVBand="1"/>
      </w:tblPr>
      <w:tblGrid>
        <w:gridCol w:w="9350"/>
      </w:tblGrid>
      <w:tr w:rsidR="00B67867" w14:paraId="407F8B80" w14:textId="77777777" w:rsidTr="00551A2E">
        <w:tc>
          <w:tcPr>
            <w:tcW w:w="5000" w:type="pct"/>
            <w:shd w:val="clear" w:color="auto" w:fill="DBE5F1" w:themeFill="accent1" w:themeFillTint="33"/>
          </w:tcPr>
          <w:p w14:paraId="47DE9178" w14:textId="77777777" w:rsidR="00B67867" w:rsidRPr="00B537F5" w:rsidRDefault="00B67867" w:rsidP="00551A2E">
            <w:r w:rsidRPr="00F15C2A">
              <w:rPr>
                <w:b/>
              </w:rPr>
              <w:t>Promp</w:t>
            </w:r>
            <w:r>
              <w:rPr>
                <w:b/>
              </w:rPr>
              <w:t>t 4</w:t>
            </w:r>
            <w:r w:rsidRPr="00F15C2A">
              <w:rPr>
                <w:b/>
              </w:rPr>
              <w:t>:</w:t>
            </w:r>
            <w:r>
              <w:t xml:space="preserve"> </w:t>
            </w:r>
            <w:r w:rsidRPr="00B537F5">
              <w:t xml:space="preserve">Describe specific </w:t>
            </w:r>
            <w:r>
              <w:t>changes</w:t>
            </w:r>
            <w:r w:rsidRPr="00B537F5">
              <w:t xml:space="preserve"> made to your additional selectivity criteria based on research and/or stakeholder input.  (3.6)</w:t>
            </w:r>
          </w:p>
        </w:tc>
      </w:tr>
      <w:tr w:rsidR="00B67867" w14:paraId="3856F5CC" w14:textId="77777777" w:rsidTr="00551A2E">
        <w:tc>
          <w:tcPr>
            <w:tcW w:w="5000" w:type="pct"/>
            <w:shd w:val="clear" w:color="auto" w:fill="FFFFFF" w:themeFill="background1"/>
          </w:tcPr>
          <w:p w14:paraId="78177E58" w14:textId="77777777" w:rsidR="00B67867" w:rsidRPr="00B537F5" w:rsidRDefault="00B67867" w:rsidP="00551A2E">
            <w:pPr>
              <w:spacing w:line="360" w:lineRule="auto"/>
            </w:pPr>
            <w:r>
              <w:fldChar w:fldCharType="begin">
                <w:ffData>
                  <w:name w:val="Text4"/>
                  <w:enabled/>
                  <w:calcOnExit w:val="0"/>
                  <w:textInput>
                    <w:maxLength w:val="150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668B6C0B" w14:textId="717420CA" w:rsidR="00B67867" w:rsidRDefault="00B67867" w:rsidP="0020444A">
      <w:pPr>
        <w:spacing w:after="0" w:line="240" w:lineRule="auto"/>
        <w:rPr>
          <w:b/>
          <w:sz w:val="24"/>
          <w:szCs w:val="24"/>
        </w:rPr>
      </w:pPr>
    </w:p>
    <w:tbl>
      <w:tblPr>
        <w:tblStyle w:val="TableGrid"/>
        <w:tblW w:w="5000" w:type="pct"/>
        <w:shd w:val="clear" w:color="auto" w:fill="DBE5F1" w:themeFill="accent1" w:themeFillTint="33"/>
        <w:tblLook w:val="04A0" w:firstRow="1" w:lastRow="0" w:firstColumn="1" w:lastColumn="0" w:noHBand="0" w:noVBand="1"/>
      </w:tblPr>
      <w:tblGrid>
        <w:gridCol w:w="9350"/>
      </w:tblGrid>
      <w:tr w:rsidR="00B67867" w14:paraId="70233606" w14:textId="77777777" w:rsidTr="00551A2E">
        <w:tc>
          <w:tcPr>
            <w:tcW w:w="5000" w:type="pct"/>
            <w:shd w:val="clear" w:color="auto" w:fill="DBE5F1" w:themeFill="accent1" w:themeFillTint="33"/>
          </w:tcPr>
          <w:p w14:paraId="28235FE9" w14:textId="77777777" w:rsidR="00B67867" w:rsidRPr="00B537F5" w:rsidRDefault="00B67867" w:rsidP="00551A2E">
            <w:r w:rsidRPr="00F15C2A">
              <w:rPr>
                <w:b/>
              </w:rPr>
              <w:t>Promp</w:t>
            </w:r>
            <w:r>
              <w:rPr>
                <w:b/>
              </w:rPr>
              <w:t>t 5</w:t>
            </w:r>
            <w:r w:rsidRPr="00F15C2A">
              <w:rPr>
                <w:b/>
              </w:rPr>
              <w:t>:</w:t>
            </w:r>
            <w:r>
              <w:t xml:space="preserve"> </w:t>
            </w:r>
            <w:r w:rsidRPr="00B537F5">
              <w:t>Describe how you monitor and support candidate development of additional selectivity criteria. (3.6)</w:t>
            </w:r>
          </w:p>
        </w:tc>
      </w:tr>
      <w:tr w:rsidR="00B67867" w14:paraId="50BBD8C8" w14:textId="77777777" w:rsidTr="00551A2E">
        <w:tc>
          <w:tcPr>
            <w:tcW w:w="5000" w:type="pct"/>
            <w:shd w:val="clear" w:color="auto" w:fill="FFFFFF" w:themeFill="background1"/>
          </w:tcPr>
          <w:p w14:paraId="11DC6FDB" w14:textId="77777777" w:rsidR="00B67867" w:rsidRPr="00B537F5" w:rsidRDefault="00B67867" w:rsidP="00551A2E">
            <w:pPr>
              <w:spacing w:line="360" w:lineRule="auto"/>
            </w:pPr>
            <w:r>
              <w:fldChar w:fldCharType="begin">
                <w:ffData>
                  <w:name w:val="Text3"/>
                  <w:enabled/>
                  <w:calcOnExit w:val="0"/>
                  <w:textInput>
                    <w:maxLength w:val="150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0F1AC778" w14:textId="30017708" w:rsidR="00B67867" w:rsidRDefault="00B67867" w:rsidP="0020444A">
      <w:pPr>
        <w:spacing w:after="0" w:line="240" w:lineRule="auto"/>
        <w:rPr>
          <w:b/>
          <w:sz w:val="24"/>
          <w:szCs w:val="24"/>
        </w:rPr>
      </w:pPr>
    </w:p>
    <w:tbl>
      <w:tblPr>
        <w:tblStyle w:val="TableGrid"/>
        <w:tblW w:w="5000" w:type="pct"/>
        <w:shd w:val="clear" w:color="auto" w:fill="DBE5F1" w:themeFill="accent1" w:themeFillTint="33"/>
        <w:tblLook w:val="04A0" w:firstRow="1" w:lastRow="0" w:firstColumn="1" w:lastColumn="0" w:noHBand="0" w:noVBand="1"/>
      </w:tblPr>
      <w:tblGrid>
        <w:gridCol w:w="9350"/>
      </w:tblGrid>
      <w:tr w:rsidR="00B67867" w14:paraId="1E29850C" w14:textId="77777777" w:rsidTr="00551A2E">
        <w:tc>
          <w:tcPr>
            <w:tcW w:w="5000" w:type="pct"/>
            <w:shd w:val="clear" w:color="auto" w:fill="DBE5F1" w:themeFill="accent1" w:themeFillTint="33"/>
          </w:tcPr>
          <w:p w14:paraId="751412FE" w14:textId="77777777" w:rsidR="00B67867" w:rsidRPr="00B537F5" w:rsidRDefault="00B67867" w:rsidP="00551A2E">
            <w:r w:rsidRPr="00F15C2A">
              <w:rPr>
                <w:b/>
              </w:rPr>
              <w:t>Promp</w:t>
            </w:r>
            <w:r>
              <w:rPr>
                <w:b/>
              </w:rPr>
              <w:t>t 6</w:t>
            </w:r>
            <w:r w:rsidRPr="00F15C2A">
              <w:rPr>
                <w:b/>
              </w:rPr>
              <w:t>:</w:t>
            </w:r>
            <w:r>
              <w:t xml:space="preserve"> </w:t>
            </w:r>
            <w:r w:rsidRPr="00B537F5">
              <w:t>Describe your strengths and areas in need of improvement specific to candidate quality and recruitment.</w:t>
            </w:r>
          </w:p>
        </w:tc>
      </w:tr>
      <w:tr w:rsidR="00B67867" w14:paraId="2BE97BCE" w14:textId="77777777" w:rsidTr="00551A2E">
        <w:tc>
          <w:tcPr>
            <w:tcW w:w="5000" w:type="pct"/>
            <w:shd w:val="clear" w:color="auto" w:fill="FFFFFF" w:themeFill="background1"/>
          </w:tcPr>
          <w:p w14:paraId="39E1F10E" w14:textId="77777777" w:rsidR="00B67867" w:rsidRDefault="00B67867" w:rsidP="00551A2E">
            <w:pPr>
              <w:spacing w:line="360" w:lineRule="auto"/>
            </w:pPr>
            <w:r>
              <w:fldChar w:fldCharType="begin">
                <w:ffData>
                  <w:name w:val="Text2"/>
                  <w:enabled/>
                  <w:calcOnExit w:val="0"/>
                  <w:textInput>
                    <w:maxLength w:val="1500"/>
                  </w:textInput>
                </w:ffData>
              </w:fldChar>
            </w:r>
            <w:bookmarkStart w:id="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373F5FE2" w14:textId="77777777" w:rsidR="00B67867" w:rsidRDefault="00B67867" w:rsidP="00B67867">
      <w:pPr>
        <w:spacing w:after="0" w:line="240" w:lineRule="auto"/>
        <w:rPr>
          <w:b/>
        </w:rPr>
      </w:pPr>
    </w:p>
    <w:p w14:paraId="25ED7222" w14:textId="1BC359D7" w:rsidR="0020444A" w:rsidRPr="00FB5E60" w:rsidRDefault="0020444A" w:rsidP="0020444A">
      <w:pPr>
        <w:spacing w:after="0" w:line="240" w:lineRule="auto"/>
      </w:pPr>
      <w:r w:rsidRPr="00EA3837">
        <w:rPr>
          <w:b/>
          <w:sz w:val="24"/>
          <w:szCs w:val="24"/>
        </w:rPr>
        <w:t>REQUIRED EVIDENCE</w:t>
      </w:r>
      <w:r w:rsidRPr="00FF0B6D">
        <w:rPr>
          <w:b/>
        </w:rPr>
        <w:t>:</w:t>
      </w:r>
      <w:r w:rsidRPr="00FB5E60">
        <w:t xml:space="preserve"> The chart below details required pre-visit evidence that programs should submit to provide the data necessary for the review team to begin to understand the program. The chart also details</w:t>
      </w:r>
      <w:r>
        <w:t xml:space="preserve"> the evidence format. </w:t>
      </w:r>
      <w:r w:rsidRPr="00FB5E60">
        <w:t xml:space="preserve">All evidence must be uploaded to the </w:t>
      </w:r>
      <w:r>
        <w:t>electronic platform</w:t>
      </w:r>
      <w:r w:rsidRPr="00FB5E60">
        <w:t xml:space="preserve"> or provided to RIDE (hard copy) two months prior to the </w:t>
      </w:r>
      <w:r w:rsidR="00B67867">
        <w:t>deadline</w:t>
      </w:r>
      <w:r w:rsidRPr="00FB5E60">
        <w:t>. For electronic evidence, follow the naming conventions below and upload all evidence as PDF documents. The chart specifies minimally required evidence; programs may provide additional evidence to demonstrate how th</w:t>
      </w:r>
      <w:r>
        <w:t>ey meet PREP-</w:t>
      </w:r>
      <w:r w:rsidRPr="00FB5E60">
        <w:t>RI expectations.</w:t>
      </w:r>
    </w:p>
    <w:p w14:paraId="21404C28" w14:textId="77777777" w:rsidR="0020444A" w:rsidRPr="00FB5E60" w:rsidRDefault="0020444A" w:rsidP="0020444A">
      <w:pPr>
        <w:spacing w:after="0" w:line="240" w:lineRule="auto"/>
      </w:pPr>
    </w:p>
    <w:p w14:paraId="7B80EC90" w14:textId="3AB67126" w:rsidR="00892785" w:rsidRPr="00AC6501" w:rsidRDefault="0020444A" w:rsidP="0020444A">
      <w:pPr>
        <w:spacing w:after="0" w:line="240" w:lineRule="auto"/>
        <w:rPr>
          <w:b/>
        </w:rPr>
      </w:pPr>
      <w:r w:rsidRPr="00FB5E60">
        <w:lastRenderedPageBreak/>
        <w:t xml:space="preserve">Note: </w:t>
      </w:r>
      <w:r w:rsidRPr="00FF0B6D">
        <w:rPr>
          <w:i/>
        </w:rPr>
        <w:t>If multiple electronic documents are submitted for the same component, then add to the naming convention an additional A, B, C, after the component number for each additional document. For example, S1A_Candidatename, S1B_CandidateName, S1C_CandidateName, etc.</w:t>
      </w:r>
    </w:p>
    <w:tbl>
      <w:tblPr>
        <w:tblStyle w:val="TableGrid"/>
        <w:tblW w:w="5000" w:type="pct"/>
        <w:shd w:val="clear" w:color="auto" w:fill="DBE5F1" w:themeFill="accent1" w:themeFillTint="33"/>
        <w:tblLayout w:type="fixed"/>
        <w:tblLook w:val="04A0" w:firstRow="1" w:lastRow="0" w:firstColumn="1" w:lastColumn="0" w:noHBand="0" w:noVBand="1"/>
      </w:tblPr>
      <w:tblGrid>
        <w:gridCol w:w="805"/>
        <w:gridCol w:w="1260"/>
        <w:gridCol w:w="1621"/>
        <w:gridCol w:w="2070"/>
        <w:gridCol w:w="3594"/>
      </w:tblGrid>
      <w:tr w:rsidR="00892785" w:rsidRPr="00892785" w14:paraId="7F2555D0" w14:textId="77777777" w:rsidTr="00892785">
        <w:trPr>
          <w:trHeight w:val="710"/>
          <w:tblHeader/>
        </w:trPr>
        <w:tc>
          <w:tcPr>
            <w:tcW w:w="430" w:type="pct"/>
            <w:shd w:val="clear" w:color="auto" w:fill="1F497D" w:themeFill="text2"/>
          </w:tcPr>
          <w:p w14:paraId="3AAFD5D1" w14:textId="1F35D8A6" w:rsidR="00892785" w:rsidRPr="00892785" w:rsidRDefault="00892785" w:rsidP="00304A11">
            <w:pPr>
              <w:rPr>
                <w:b/>
                <w:color w:val="FFFFFF" w:themeColor="background1"/>
                <w:sz w:val="20"/>
                <w:szCs w:val="20"/>
              </w:rPr>
            </w:pPr>
            <w:r w:rsidRPr="00892785">
              <w:rPr>
                <w:b/>
                <w:color w:val="FFFFFF" w:themeColor="background1"/>
                <w:sz w:val="20"/>
                <w:szCs w:val="20"/>
              </w:rPr>
              <w:t>Component</w:t>
            </w:r>
          </w:p>
        </w:tc>
        <w:tc>
          <w:tcPr>
            <w:tcW w:w="674" w:type="pct"/>
            <w:shd w:val="clear" w:color="auto" w:fill="1F497D" w:themeFill="text2"/>
          </w:tcPr>
          <w:p w14:paraId="0F001FD3" w14:textId="69FD6F9D" w:rsidR="00892785" w:rsidRPr="00892785" w:rsidRDefault="00892785" w:rsidP="00304A11">
            <w:pPr>
              <w:rPr>
                <w:b/>
                <w:color w:val="FFFFFF" w:themeColor="background1"/>
                <w:sz w:val="20"/>
                <w:szCs w:val="20"/>
              </w:rPr>
            </w:pPr>
            <w:r w:rsidRPr="00892785">
              <w:rPr>
                <w:b/>
                <w:color w:val="FFFFFF" w:themeColor="background1"/>
                <w:sz w:val="20"/>
                <w:szCs w:val="20"/>
              </w:rPr>
              <w:t xml:space="preserve">Required Evidence </w:t>
            </w:r>
          </w:p>
        </w:tc>
        <w:tc>
          <w:tcPr>
            <w:tcW w:w="867" w:type="pct"/>
            <w:shd w:val="clear" w:color="auto" w:fill="1F497D" w:themeFill="text2"/>
          </w:tcPr>
          <w:p w14:paraId="127C95B4" w14:textId="61F9175B" w:rsidR="00892785" w:rsidRPr="00892785" w:rsidRDefault="00892785" w:rsidP="00304A11">
            <w:pPr>
              <w:rPr>
                <w:b/>
                <w:color w:val="FFFFFF" w:themeColor="background1"/>
                <w:sz w:val="20"/>
                <w:szCs w:val="20"/>
              </w:rPr>
            </w:pPr>
            <w:r w:rsidRPr="00892785">
              <w:rPr>
                <w:b/>
                <w:color w:val="FFFFFF" w:themeColor="background1"/>
                <w:sz w:val="20"/>
                <w:szCs w:val="20"/>
              </w:rPr>
              <w:t>Format</w:t>
            </w:r>
          </w:p>
        </w:tc>
        <w:tc>
          <w:tcPr>
            <w:tcW w:w="1107" w:type="pct"/>
            <w:shd w:val="clear" w:color="auto" w:fill="1F497D" w:themeFill="text2"/>
          </w:tcPr>
          <w:p w14:paraId="613BEE2B" w14:textId="30359407" w:rsidR="00892785" w:rsidRPr="00892785" w:rsidRDefault="00892785" w:rsidP="00304A11">
            <w:pPr>
              <w:rPr>
                <w:b/>
                <w:color w:val="FFFFFF" w:themeColor="background1"/>
                <w:sz w:val="20"/>
                <w:szCs w:val="20"/>
              </w:rPr>
            </w:pPr>
            <w:r w:rsidRPr="00892785">
              <w:rPr>
                <w:b/>
                <w:color w:val="FFFFFF" w:themeColor="background1"/>
                <w:sz w:val="20"/>
                <w:szCs w:val="20"/>
              </w:rPr>
              <w:t>File Name</w:t>
            </w:r>
          </w:p>
        </w:tc>
        <w:tc>
          <w:tcPr>
            <w:tcW w:w="1922" w:type="pct"/>
            <w:shd w:val="clear" w:color="auto" w:fill="1F497D" w:themeFill="text2"/>
          </w:tcPr>
          <w:p w14:paraId="3E191F98" w14:textId="12B6E44D" w:rsidR="00892785" w:rsidRPr="00892785" w:rsidRDefault="00892785" w:rsidP="00304A11">
            <w:pPr>
              <w:rPr>
                <w:b/>
                <w:color w:val="FFFFFF" w:themeColor="background1"/>
                <w:sz w:val="20"/>
                <w:szCs w:val="20"/>
              </w:rPr>
            </w:pPr>
            <w:r w:rsidRPr="00892785">
              <w:rPr>
                <w:b/>
                <w:color w:val="FFFFFF" w:themeColor="background1"/>
                <w:sz w:val="20"/>
                <w:szCs w:val="20"/>
              </w:rPr>
              <w:t>Description</w:t>
            </w:r>
          </w:p>
        </w:tc>
      </w:tr>
      <w:tr w:rsidR="00892785" w:rsidRPr="004C12F8" w14:paraId="7C542D69" w14:textId="77777777" w:rsidTr="00892785">
        <w:trPr>
          <w:trHeight w:val="1185"/>
        </w:trPr>
        <w:tc>
          <w:tcPr>
            <w:tcW w:w="430" w:type="pct"/>
            <w:shd w:val="clear" w:color="auto" w:fill="DBE5F1" w:themeFill="accent1" w:themeFillTint="33"/>
          </w:tcPr>
          <w:p w14:paraId="584E8838" w14:textId="0B0CC056" w:rsidR="00892785" w:rsidRPr="004C12F8" w:rsidRDefault="00115769" w:rsidP="004021EF">
            <w:pPr>
              <w:rPr>
                <w:sz w:val="20"/>
                <w:szCs w:val="20"/>
              </w:rPr>
            </w:pPr>
            <w:r w:rsidRPr="004C12F8">
              <w:rPr>
                <w:sz w:val="20"/>
                <w:szCs w:val="20"/>
              </w:rPr>
              <w:t>3.1</w:t>
            </w:r>
          </w:p>
        </w:tc>
        <w:tc>
          <w:tcPr>
            <w:tcW w:w="674" w:type="pct"/>
            <w:shd w:val="clear" w:color="auto" w:fill="DBE5F1" w:themeFill="accent1" w:themeFillTint="33"/>
          </w:tcPr>
          <w:p w14:paraId="32001946" w14:textId="4A5763AC" w:rsidR="00892785" w:rsidRPr="004C12F8" w:rsidRDefault="00892785" w:rsidP="004021EF">
            <w:pPr>
              <w:rPr>
                <w:sz w:val="20"/>
                <w:szCs w:val="20"/>
              </w:rPr>
            </w:pPr>
            <w:r w:rsidRPr="004C12F8">
              <w:rPr>
                <w:sz w:val="20"/>
                <w:szCs w:val="20"/>
              </w:rPr>
              <w:t xml:space="preserve">Provider </w:t>
            </w:r>
            <w:r w:rsidR="005B5D64" w:rsidRPr="004C12F8">
              <w:rPr>
                <w:sz w:val="20"/>
                <w:szCs w:val="20"/>
              </w:rPr>
              <w:t xml:space="preserve">and Institutional </w:t>
            </w:r>
            <w:r w:rsidRPr="004C12F8">
              <w:rPr>
                <w:sz w:val="20"/>
                <w:szCs w:val="20"/>
              </w:rPr>
              <w:t>Candidate Diversity Summary</w:t>
            </w:r>
          </w:p>
        </w:tc>
        <w:tc>
          <w:tcPr>
            <w:tcW w:w="867" w:type="pct"/>
            <w:shd w:val="clear" w:color="auto" w:fill="DBE5F1" w:themeFill="accent1" w:themeFillTint="33"/>
          </w:tcPr>
          <w:p w14:paraId="08B48400" w14:textId="4084F6C5" w:rsidR="00892785" w:rsidRPr="004C12F8" w:rsidRDefault="00892785" w:rsidP="004021EF">
            <w:pPr>
              <w:rPr>
                <w:sz w:val="20"/>
                <w:szCs w:val="20"/>
              </w:rPr>
            </w:pPr>
            <w:r w:rsidRPr="004C12F8">
              <w:rPr>
                <w:sz w:val="20"/>
                <w:szCs w:val="20"/>
              </w:rPr>
              <w:t>Electronic Template</w:t>
            </w:r>
          </w:p>
        </w:tc>
        <w:tc>
          <w:tcPr>
            <w:tcW w:w="1107" w:type="pct"/>
            <w:shd w:val="clear" w:color="auto" w:fill="DBE5F1" w:themeFill="accent1" w:themeFillTint="33"/>
          </w:tcPr>
          <w:p w14:paraId="5AAB1106" w14:textId="5AB795C4" w:rsidR="00892785" w:rsidRPr="004C12F8" w:rsidRDefault="00A829C3" w:rsidP="004021EF">
            <w:pPr>
              <w:rPr>
                <w:sz w:val="20"/>
                <w:szCs w:val="20"/>
              </w:rPr>
            </w:pPr>
            <w:r w:rsidRPr="004C12F8">
              <w:rPr>
                <w:sz w:val="20"/>
                <w:szCs w:val="20"/>
              </w:rPr>
              <w:t>S3.1</w:t>
            </w:r>
            <w:r w:rsidR="00892785" w:rsidRPr="004C12F8">
              <w:rPr>
                <w:sz w:val="20"/>
                <w:szCs w:val="20"/>
              </w:rPr>
              <w:t>_ProviderCandidateDiversity</w:t>
            </w:r>
            <w:r w:rsidRPr="004C12F8">
              <w:rPr>
                <w:sz w:val="20"/>
                <w:szCs w:val="20"/>
              </w:rPr>
              <w:t>_DataFile</w:t>
            </w:r>
          </w:p>
        </w:tc>
        <w:tc>
          <w:tcPr>
            <w:tcW w:w="1922" w:type="pct"/>
            <w:shd w:val="clear" w:color="auto" w:fill="DBE5F1" w:themeFill="accent1" w:themeFillTint="33"/>
          </w:tcPr>
          <w:p w14:paraId="48D67230" w14:textId="76133343" w:rsidR="00892785" w:rsidRPr="004C12F8" w:rsidRDefault="00892785" w:rsidP="001C116A">
            <w:pPr>
              <w:rPr>
                <w:b/>
                <w:sz w:val="20"/>
                <w:szCs w:val="20"/>
              </w:rPr>
            </w:pPr>
            <w:r w:rsidRPr="004C12F8">
              <w:rPr>
                <w:sz w:val="20"/>
                <w:szCs w:val="20"/>
              </w:rPr>
              <w:t xml:space="preserve">A data file that includes </w:t>
            </w:r>
            <w:r w:rsidR="00A829C3" w:rsidRPr="004C12F8">
              <w:rPr>
                <w:sz w:val="20"/>
                <w:szCs w:val="20"/>
              </w:rPr>
              <w:t>candidate demographics</w:t>
            </w:r>
            <w:r w:rsidRPr="004C12F8">
              <w:rPr>
                <w:sz w:val="20"/>
                <w:szCs w:val="20"/>
              </w:rPr>
              <w:t xml:space="preserve"> </w:t>
            </w:r>
            <w:r w:rsidR="001C116A" w:rsidRPr="004C12F8">
              <w:rPr>
                <w:sz w:val="20"/>
                <w:szCs w:val="20"/>
              </w:rPr>
              <w:t>with data regarding number of individuals recruited, admitted, accepted for student teaching/internship, and recommended for licensure by demographic</w:t>
            </w:r>
            <w:r w:rsidR="005B5D64" w:rsidRPr="004C12F8">
              <w:rPr>
                <w:sz w:val="20"/>
                <w:szCs w:val="20"/>
              </w:rPr>
              <w:t xml:space="preserve"> for the last </w:t>
            </w:r>
            <w:r w:rsidR="001C116A" w:rsidRPr="004C12F8">
              <w:rPr>
                <w:sz w:val="20"/>
                <w:szCs w:val="20"/>
              </w:rPr>
              <w:t>three</w:t>
            </w:r>
            <w:r w:rsidR="005B5D64" w:rsidRPr="004C12F8">
              <w:rPr>
                <w:sz w:val="20"/>
                <w:szCs w:val="20"/>
              </w:rPr>
              <w:t xml:space="preserve"> years for bo</w:t>
            </w:r>
            <w:r w:rsidR="00802289">
              <w:rPr>
                <w:sz w:val="20"/>
                <w:szCs w:val="20"/>
              </w:rPr>
              <w:t>th the provider and institution</w:t>
            </w:r>
          </w:p>
        </w:tc>
      </w:tr>
      <w:tr w:rsidR="00A829C3" w:rsidRPr="004C12F8" w14:paraId="3D1977F3" w14:textId="77777777" w:rsidTr="00892785">
        <w:trPr>
          <w:trHeight w:val="1185"/>
        </w:trPr>
        <w:tc>
          <w:tcPr>
            <w:tcW w:w="430" w:type="pct"/>
            <w:shd w:val="clear" w:color="auto" w:fill="DBE5F1" w:themeFill="accent1" w:themeFillTint="33"/>
          </w:tcPr>
          <w:p w14:paraId="3260AFEF" w14:textId="3DFDDAEB" w:rsidR="00A829C3" w:rsidRPr="004C12F8" w:rsidRDefault="00A829C3" w:rsidP="00230C9F">
            <w:pPr>
              <w:rPr>
                <w:sz w:val="20"/>
                <w:szCs w:val="20"/>
              </w:rPr>
            </w:pPr>
            <w:r w:rsidRPr="004C12F8">
              <w:rPr>
                <w:sz w:val="20"/>
                <w:szCs w:val="20"/>
              </w:rPr>
              <w:t>3.1</w:t>
            </w:r>
          </w:p>
        </w:tc>
        <w:tc>
          <w:tcPr>
            <w:tcW w:w="674" w:type="pct"/>
            <w:shd w:val="clear" w:color="auto" w:fill="DBE5F1" w:themeFill="accent1" w:themeFillTint="33"/>
          </w:tcPr>
          <w:p w14:paraId="424A436C" w14:textId="6AA06776" w:rsidR="00A829C3" w:rsidRPr="004C12F8" w:rsidRDefault="00A829C3" w:rsidP="00230C9F">
            <w:pPr>
              <w:rPr>
                <w:sz w:val="20"/>
                <w:szCs w:val="20"/>
              </w:rPr>
            </w:pPr>
            <w:r w:rsidRPr="004C12F8">
              <w:rPr>
                <w:sz w:val="20"/>
                <w:szCs w:val="20"/>
              </w:rPr>
              <w:t>Recruitment and Support of Diverse Candidates Materials</w:t>
            </w:r>
          </w:p>
        </w:tc>
        <w:tc>
          <w:tcPr>
            <w:tcW w:w="867" w:type="pct"/>
            <w:shd w:val="clear" w:color="auto" w:fill="DBE5F1" w:themeFill="accent1" w:themeFillTint="33"/>
          </w:tcPr>
          <w:p w14:paraId="36096E7F" w14:textId="59000F8C" w:rsidR="00A829C3" w:rsidRPr="004C12F8" w:rsidRDefault="00A829C3" w:rsidP="00230C9F">
            <w:pPr>
              <w:rPr>
                <w:sz w:val="20"/>
                <w:szCs w:val="20"/>
              </w:rPr>
            </w:pPr>
            <w:r w:rsidRPr="004C12F8">
              <w:rPr>
                <w:sz w:val="20"/>
                <w:szCs w:val="20"/>
              </w:rPr>
              <w:t>Electronic Document</w:t>
            </w:r>
          </w:p>
        </w:tc>
        <w:tc>
          <w:tcPr>
            <w:tcW w:w="1107" w:type="pct"/>
            <w:shd w:val="clear" w:color="auto" w:fill="DBE5F1" w:themeFill="accent1" w:themeFillTint="33"/>
          </w:tcPr>
          <w:p w14:paraId="22E0E1B8" w14:textId="26AE0817" w:rsidR="00A829C3" w:rsidRPr="004C12F8" w:rsidRDefault="00A829C3" w:rsidP="00230C9F">
            <w:pPr>
              <w:rPr>
                <w:sz w:val="20"/>
                <w:szCs w:val="20"/>
              </w:rPr>
            </w:pPr>
            <w:r w:rsidRPr="004C12F8">
              <w:rPr>
                <w:sz w:val="20"/>
                <w:szCs w:val="20"/>
              </w:rPr>
              <w:t>3.1_CandidateDiversity_RecruitmentSupport</w:t>
            </w:r>
          </w:p>
        </w:tc>
        <w:tc>
          <w:tcPr>
            <w:tcW w:w="1922" w:type="pct"/>
            <w:shd w:val="clear" w:color="auto" w:fill="DBE5F1" w:themeFill="accent1" w:themeFillTint="33"/>
          </w:tcPr>
          <w:p w14:paraId="284012AE" w14:textId="7C334932" w:rsidR="00A829C3" w:rsidRPr="004C12F8" w:rsidRDefault="00A829C3" w:rsidP="00230C9F">
            <w:pPr>
              <w:rPr>
                <w:sz w:val="20"/>
                <w:szCs w:val="20"/>
              </w:rPr>
            </w:pPr>
            <w:r w:rsidRPr="004C12F8">
              <w:rPr>
                <w:sz w:val="20"/>
                <w:szCs w:val="20"/>
              </w:rPr>
              <w:t>A flowchart that demonstrates how the provider recruits, admits, supports, and retains a diverse candidate body</w:t>
            </w:r>
            <w:r w:rsidR="00F15C2A" w:rsidRPr="004C12F8">
              <w:rPr>
                <w:sz w:val="20"/>
                <w:szCs w:val="20"/>
              </w:rPr>
              <w:t xml:space="preserve"> that reflects the diversity of PK-12 students</w:t>
            </w:r>
          </w:p>
        </w:tc>
      </w:tr>
      <w:tr w:rsidR="00892785" w:rsidRPr="004C12F8" w14:paraId="77F99E0E" w14:textId="77777777" w:rsidTr="004C12F8">
        <w:trPr>
          <w:trHeight w:val="620"/>
        </w:trPr>
        <w:tc>
          <w:tcPr>
            <w:tcW w:w="430" w:type="pct"/>
            <w:shd w:val="clear" w:color="auto" w:fill="DBE5F1" w:themeFill="accent1" w:themeFillTint="33"/>
          </w:tcPr>
          <w:p w14:paraId="68399F16" w14:textId="14BFF66F" w:rsidR="00892785" w:rsidRPr="004C12F8" w:rsidRDefault="00115769" w:rsidP="00230C9F">
            <w:pPr>
              <w:rPr>
                <w:sz w:val="20"/>
                <w:szCs w:val="20"/>
              </w:rPr>
            </w:pPr>
            <w:r w:rsidRPr="004C12F8">
              <w:rPr>
                <w:sz w:val="20"/>
                <w:szCs w:val="20"/>
              </w:rPr>
              <w:t>3.2</w:t>
            </w:r>
          </w:p>
        </w:tc>
        <w:tc>
          <w:tcPr>
            <w:tcW w:w="674" w:type="pct"/>
            <w:shd w:val="clear" w:color="auto" w:fill="DBE5F1" w:themeFill="accent1" w:themeFillTint="33"/>
          </w:tcPr>
          <w:p w14:paraId="18A53E8E" w14:textId="79525FFE" w:rsidR="00892785" w:rsidRPr="004C12F8" w:rsidRDefault="00892785" w:rsidP="00230C9F">
            <w:pPr>
              <w:rPr>
                <w:sz w:val="20"/>
                <w:szCs w:val="20"/>
              </w:rPr>
            </w:pPr>
            <w:r w:rsidRPr="004C12F8">
              <w:rPr>
                <w:sz w:val="20"/>
                <w:szCs w:val="20"/>
              </w:rPr>
              <w:t>Employment Data Shared with Prospective and Current Candidates</w:t>
            </w:r>
          </w:p>
          <w:p w14:paraId="4A6DCE6C" w14:textId="77777777" w:rsidR="00892785" w:rsidRPr="004C12F8" w:rsidRDefault="00892785" w:rsidP="00230C9F">
            <w:pPr>
              <w:rPr>
                <w:b/>
                <w:sz w:val="20"/>
                <w:szCs w:val="20"/>
              </w:rPr>
            </w:pPr>
          </w:p>
        </w:tc>
        <w:tc>
          <w:tcPr>
            <w:tcW w:w="867" w:type="pct"/>
            <w:shd w:val="clear" w:color="auto" w:fill="DBE5F1" w:themeFill="accent1" w:themeFillTint="33"/>
          </w:tcPr>
          <w:p w14:paraId="2EFA2130" w14:textId="211D3592" w:rsidR="00892785" w:rsidRPr="004C12F8" w:rsidRDefault="00115769" w:rsidP="00230C9F">
            <w:pPr>
              <w:rPr>
                <w:sz w:val="20"/>
                <w:szCs w:val="20"/>
              </w:rPr>
            </w:pPr>
            <w:r w:rsidRPr="004C12F8">
              <w:rPr>
                <w:sz w:val="20"/>
                <w:szCs w:val="20"/>
              </w:rPr>
              <w:t>Electronic Document</w:t>
            </w:r>
          </w:p>
        </w:tc>
        <w:tc>
          <w:tcPr>
            <w:tcW w:w="1107" w:type="pct"/>
            <w:shd w:val="clear" w:color="auto" w:fill="DBE5F1" w:themeFill="accent1" w:themeFillTint="33"/>
          </w:tcPr>
          <w:p w14:paraId="416577CE" w14:textId="2D9D8373" w:rsidR="00892785" w:rsidRPr="004C12F8" w:rsidRDefault="001C116A" w:rsidP="00230C9F">
            <w:pPr>
              <w:rPr>
                <w:sz w:val="20"/>
                <w:szCs w:val="20"/>
              </w:rPr>
            </w:pPr>
            <w:r w:rsidRPr="004C12F8">
              <w:rPr>
                <w:sz w:val="20"/>
                <w:szCs w:val="20"/>
              </w:rPr>
              <w:t>S3.2</w:t>
            </w:r>
            <w:r w:rsidR="00892785" w:rsidRPr="004C12F8">
              <w:rPr>
                <w:sz w:val="20"/>
                <w:szCs w:val="20"/>
              </w:rPr>
              <w:t>_EmploymentData</w:t>
            </w:r>
          </w:p>
          <w:p w14:paraId="7194D149" w14:textId="0EC88CC6" w:rsidR="00892785" w:rsidRPr="004C12F8" w:rsidRDefault="00892785" w:rsidP="00230C9F">
            <w:pPr>
              <w:rPr>
                <w:sz w:val="20"/>
                <w:szCs w:val="20"/>
              </w:rPr>
            </w:pPr>
          </w:p>
        </w:tc>
        <w:tc>
          <w:tcPr>
            <w:tcW w:w="1922" w:type="pct"/>
            <w:shd w:val="clear" w:color="auto" w:fill="DBE5F1" w:themeFill="accent1" w:themeFillTint="33"/>
          </w:tcPr>
          <w:p w14:paraId="752DC55E" w14:textId="5E71D878" w:rsidR="00892785" w:rsidRPr="004C12F8" w:rsidRDefault="00892785" w:rsidP="00230C9F">
            <w:pPr>
              <w:rPr>
                <w:sz w:val="20"/>
                <w:szCs w:val="20"/>
              </w:rPr>
            </w:pPr>
            <w:r w:rsidRPr="004C12F8">
              <w:rPr>
                <w:sz w:val="20"/>
                <w:szCs w:val="20"/>
              </w:rPr>
              <w:t>Any materials that are shared with prospective candidates prior to admission or with candidates in the program that provide data about employment prospects within each certification area, including data about the recent comple</w:t>
            </w:r>
            <w:r w:rsidR="00802289">
              <w:rPr>
                <w:sz w:val="20"/>
                <w:szCs w:val="20"/>
              </w:rPr>
              <w:t>ters of the provider’s program</w:t>
            </w:r>
          </w:p>
        </w:tc>
      </w:tr>
      <w:tr w:rsidR="00115769" w:rsidRPr="004C12F8" w14:paraId="3AF2EE63" w14:textId="77777777" w:rsidTr="00892785">
        <w:trPr>
          <w:trHeight w:val="1185"/>
        </w:trPr>
        <w:tc>
          <w:tcPr>
            <w:tcW w:w="430" w:type="pct"/>
            <w:shd w:val="clear" w:color="auto" w:fill="DBE5F1" w:themeFill="accent1" w:themeFillTint="33"/>
          </w:tcPr>
          <w:p w14:paraId="5B984675" w14:textId="235DC82F" w:rsidR="00115769" w:rsidRPr="004C12F8" w:rsidRDefault="00115769" w:rsidP="00115769">
            <w:pPr>
              <w:rPr>
                <w:sz w:val="20"/>
                <w:szCs w:val="20"/>
              </w:rPr>
            </w:pPr>
            <w:r w:rsidRPr="004C12F8">
              <w:rPr>
                <w:sz w:val="20"/>
                <w:szCs w:val="20"/>
              </w:rPr>
              <w:t>3.3</w:t>
            </w:r>
          </w:p>
        </w:tc>
        <w:tc>
          <w:tcPr>
            <w:tcW w:w="674" w:type="pct"/>
            <w:shd w:val="clear" w:color="auto" w:fill="DBE5F1" w:themeFill="accent1" w:themeFillTint="33"/>
          </w:tcPr>
          <w:p w14:paraId="126B2FD8" w14:textId="05990D1A" w:rsidR="00115769" w:rsidRPr="004C12F8" w:rsidRDefault="00115769" w:rsidP="00115769">
            <w:pPr>
              <w:rPr>
                <w:sz w:val="20"/>
                <w:szCs w:val="20"/>
              </w:rPr>
            </w:pPr>
            <w:r w:rsidRPr="004C12F8">
              <w:rPr>
                <w:sz w:val="20"/>
                <w:szCs w:val="20"/>
              </w:rPr>
              <w:t>Admissions Policy</w:t>
            </w:r>
          </w:p>
          <w:p w14:paraId="49658D83" w14:textId="77777777" w:rsidR="00115769" w:rsidRPr="004C12F8" w:rsidRDefault="00115769" w:rsidP="00115769">
            <w:pPr>
              <w:rPr>
                <w:b/>
                <w:sz w:val="20"/>
                <w:szCs w:val="20"/>
              </w:rPr>
            </w:pPr>
          </w:p>
        </w:tc>
        <w:tc>
          <w:tcPr>
            <w:tcW w:w="867" w:type="pct"/>
            <w:shd w:val="clear" w:color="auto" w:fill="DBE5F1" w:themeFill="accent1" w:themeFillTint="33"/>
          </w:tcPr>
          <w:p w14:paraId="141EDBDC" w14:textId="7A67D42B" w:rsidR="00115769" w:rsidRPr="004C12F8" w:rsidRDefault="00115769" w:rsidP="00115769">
            <w:pPr>
              <w:rPr>
                <w:sz w:val="20"/>
                <w:szCs w:val="20"/>
              </w:rPr>
            </w:pPr>
            <w:r w:rsidRPr="004C12F8">
              <w:rPr>
                <w:sz w:val="20"/>
                <w:szCs w:val="20"/>
              </w:rPr>
              <w:t>Electronic Document</w:t>
            </w:r>
          </w:p>
        </w:tc>
        <w:tc>
          <w:tcPr>
            <w:tcW w:w="1107" w:type="pct"/>
            <w:shd w:val="clear" w:color="auto" w:fill="DBE5F1" w:themeFill="accent1" w:themeFillTint="33"/>
          </w:tcPr>
          <w:p w14:paraId="35171FB3" w14:textId="4CD7F6AB" w:rsidR="00115769" w:rsidRPr="004C12F8" w:rsidRDefault="00115769" w:rsidP="00115769">
            <w:pPr>
              <w:rPr>
                <w:sz w:val="20"/>
                <w:szCs w:val="20"/>
              </w:rPr>
            </w:pPr>
            <w:r w:rsidRPr="004C12F8">
              <w:rPr>
                <w:sz w:val="20"/>
                <w:szCs w:val="20"/>
              </w:rPr>
              <w:t xml:space="preserve">S3.3A_AdmissionsPolicy </w:t>
            </w:r>
          </w:p>
          <w:p w14:paraId="57F2BA7F" w14:textId="77777777" w:rsidR="00115769" w:rsidRPr="004C12F8" w:rsidRDefault="00115769" w:rsidP="00115769">
            <w:pPr>
              <w:rPr>
                <w:sz w:val="20"/>
                <w:szCs w:val="20"/>
              </w:rPr>
            </w:pPr>
          </w:p>
        </w:tc>
        <w:tc>
          <w:tcPr>
            <w:tcW w:w="1922" w:type="pct"/>
            <w:shd w:val="clear" w:color="auto" w:fill="DBE5F1" w:themeFill="accent1" w:themeFillTint="33"/>
          </w:tcPr>
          <w:p w14:paraId="15E98729" w14:textId="3E944489" w:rsidR="00115769" w:rsidRPr="004C12F8" w:rsidRDefault="00115769" w:rsidP="00115769">
            <w:pPr>
              <w:rPr>
                <w:sz w:val="20"/>
                <w:szCs w:val="20"/>
              </w:rPr>
            </w:pPr>
            <w:r w:rsidRPr="004C12F8">
              <w:rPr>
                <w:sz w:val="20"/>
                <w:szCs w:val="20"/>
              </w:rPr>
              <w:t>Documents that specify criteria for admissions to programs, including any dispositions or leadership traits that are non-academic criteria (see component 3.6)</w:t>
            </w:r>
          </w:p>
        </w:tc>
      </w:tr>
      <w:tr w:rsidR="00A41D7B" w:rsidRPr="004C12F8" w14:paraId="0A472F23" w14:textId="77777777" w:rsidTr="009F78DD">
        <w:trPr>
          <w:trHeight w:val="575"/>
        </w:trPr>
        <w:tc>
          <w:tcPr>
            <w:tcW w:w="430" w:type="pct"/>
            <w:shd w:val="clear" w:color="auto" w:fill="DBE5F1" w:themeFill="accent1" w:themeFillTint="33"/>
          </w:tcPr>
          <w:p w14:paraId="69A9EDB5" w14:textId="67E81453" w:rsidR="00A41D7B" w:rsidRPr="004C12F8" w:rsidRDefault="00A41D7B" w:rsidP="00115769">
            <w:pPr>
              <w:rPr>
                <w:sz w:val="20"/>
                <w:szCs w:val="20"/>
              </w:rPr>
            </w:pPr>
            <w:r w:rsidRPr="004C12F8">
              <w:rPr>
                <w:sz w:val="20"/>
                <w:szCs w:val="20"/>
              </w:rPr>
              <w:t>3.3</w:t>
            </w:r>
          </w:p>
        </w:tc>
        <w:tc>
          <w:tcPr>
            <w:tcW w:w="674" w:type="pct"/>
            <w:shd w:val="clear" w:color="auto" w:fill="DBE5F1" w:themeFill="accent1" w:themeFillTint="33"/>
          </w:tcPr>
          <w:p w14:paraId="3711161E" w14:textId="4D60A059" w:rsidR="00A41D7B" w:rsidRPr="004C12F8" w:rsidRDefault="00A41D7B" w:rsidP="00115769">
            <w:pPr>
              <w:rPr>
                <w:sz w:val="20"/>
                <w:szCs w:val="20"/>
              </w:rPr>
            </w:pPr>
            <w:r w:rsidRPr="004C12F8">
              <w:rPr>
                <w:sz w:val="20"/>
                <w:szCs w:val="20"/>
              </w:rPr>
              <w:t>Admissions Data</w:t>
            </w:r>
          </w:p>
        </w:tc>
        <w:tc>
          <w:tcPr>
            <w:tcW w:w="867" w:type="pct"/>
            <w:shd w:val="clear" w:color="auto" w:fill="DBE5F1" w:themeFill="accent1" w:themeFillTint="33"/>
          </w:tcPr>
          <w:p w14:paraId="258A3CD0" w14:textId="590905BE" w:rsidR="00A41D7B" w:rsidRPr="004C12F8" w:rsidRDefault="009F78DD" w:rsidP="004C12F8">
            <w:pPr>
              <w:rPr>
                <w:sz w:val="20"/>
                <w:szCs w:val="20"/>
              </w:rPr>
            </w:pPr>
            <w:r w:rsidRPr="004C12F8">
              <w:rPr>
                <w:sz w:val="20"/>
                <w:szCs w:val="20"/>
              </w:rPr>
              <w:t xml:space="preserve">Electronic </w:t>
            </w:r>
            <w:r w:rsidR="004C12F8" w:rsidRPr="004C12F8">
              <w:rPr>
                <w:sz w:val="20"/>
                <w:szCs w:val="20"/>
              </w:rPr>
              <w:t>Template</w:t>
            </w:r>
          </w:p>
        </w:tc>
        <w:tc>
          <w:tcPr>
            <w:tcW w:w="1107" w:type="pct"/>
            <w:shd w:val="clear" w:color="auto" w:fill="DBE5F1" w:themeFill="accent1" w:themeFillTint="33"/>
          </w:tcPr>
          <w:p w14:paraId="434BCF14" w14:textId="2E995AE0" w:rsidR="00A41D7B" w:rsidRPr="004C12F8" w:rsidRDefault="004C12F8" w:rsidP="00115769">
            <w:pPr>
              <w:rPr>
                <w:sz w:val="20"/>
                <w:szCs w:val="20"/>
              </w:rPr>
            </w:pPr>
            <w:r w:rsidRPr="004C12F8">
              <w:rPr>
                <w:sz w:val="20"/>
                <w:szCs w:val="20"/>
              </w:rPr>
              <w:t>S3.3_AdmissionsData</w:t>
            </w:r>
          </w:p>
        </w:tc>
        <w:tc>
          <w:tcPr>
            <w:tcW w:w="1922" w:type="pct"/>
            <w:shd w:val="clear" w:color="auto" w:fill="DBE5F1" w:themeFill="accent1" w:themeFillTint="33"/>
          </w:tcPr>
          <w:p w14:paraId="4E541219" w14:textId="2C273CC1" w:rsidR="00A41D7B" w:rsidRPr="004C12F8" w:rsidRDefault="009F78DD" w:rsidP="00115769">
            <w:pPr>
              <w:rPr>
                <w:sz w:val="20"/>
                <w:szCs w:val="20"/>
              </w:rPr>
            </w:pPr>
            <w:r w:rsidRPr="004C12F8">
              <w:rPr>
                <w:sz w:val="20"/>
                <w:szCs w:val="20"/>
              </w:rPr>
              <w:t xml:space="preserve">Data file demonstrating cohort </w:t>
            </w:r>
            <w:r w:rsidR="004C12F8" w:rsidRPr="004C12F8">
              <w:rPr>
                <w:sz w:val="20"/>
                <w:szCs w:val="20"/>
              </w:rPr>
              <w:t xml:space="preserve">and individual admission </w:t>
            </w:r>
            <w:r w:rsidRPr="004C12F8">
              <w:rPr>
                <w:sz w:val="20"/>
                <w:szCs w:val="20"/>
              </w:rPr>
              <w:t xml:space="preserve">data </w:t>
            </w:r>
            <w:r w:rsidR="004C12F8" w:rsidRPr="004C12F8">
              <w:rPr>
                <w:sz w:val="20"/>
                <w:szCs w:val="20"/>
              </w:rPr>
              <w:t xml:space="preserve">and </w:t>
            </w:r>
            <w:r w:rsidR="00802289">
              <w:rPr>
                <w:sz w:val="20"/>
                <w:szCs w:val="20"/>
              </w:rPr>
              <w:t>calculations</w:t>
            </w:r>
          </w:p>
        </w:tc>
      </w:tr>
      <w:tr w:rsidR="00115769" w:rsidRPr="004C12F8" w14:paraId="1E65009A" w14:textId="77777777" w:rsidTr="00892785">
        <w:trPr>
          <w:trHeight w:val="809"/>
        </w:trPr>
        <w:tc>
          <w:tcPr>
            <w:tcW w:w="430" w:type="pct"/>
            <w:shd w:val="clear" w:color="auto" w:fill="DBE5F1" w:themeFill="accent1" w:themeFillTint="33"/>
          </w:tcPr>
          <w:p w14:paraId="07E6D1E7" w14:textId="5FD584F8" w:rsidR="00115769" w:rsidRPr="004C12F8" w:rsidRDefault="00115769" w:rsidP="00115769">
            <w:pPr>
              <w:rPr>
                <w:sz w:val="20"/>
                <w:szCs w:val="20"/>
              </w:rPr>
            </w:pPr>
            <w:r w:rsidRPr="004C12F8">
              <w:rPr>
                <w:sz w:val="20"/>
                <w:szCs w:val="20"/>
              </w:rPr>
              <w:t>3.3</w:t>
            </w:r>
          </w:p>
        </w:tc>
        <w:tc>
          <w:tcPr>
            <w:tcW w:w="674" w:type="pct"/>
            <w:shd w:val="clear" w:color="auto" w:fill="DBE5F1" w:themeFill="accent1" w:themeFillTint="33"/>
          </w:tcPr>
          <w:p w14:paraId="3F5BF270" w14:textId="7B428D7E" w:rsidR="00115769" w:rsidRPr="004C12F8" w:rsidRDefault="00AC6501" w:rsidP="00115769">
            <w:pPr>
              <w:rPr>
                <w:sz w:val="20"/>
                <w:szCs w:val="20"/>
              </w:rPr>
            </w:pPr>
            <w:r w:rsidRPr="004C12F8">
              <w:rPr>
                <w:sz w:val="20"/>
                <w:szCs w:val="20"/>
              </w:rPr>
              <w:t>Conditional Acceptance</w:t>
            </w:r>
          </w:p>
          <w:p w14:paraId="16821369" w14:textId="77777777" w:rsidR="00115769" w:rsidRPr="004C12F8" w:rsidRDefault="00115769" w:rsidP="00115769">
            <w:pPr>
              <w:rPr>
                <w:b/>
                <w:sz w:val="20"/>
                <w:szCs w:val="20"/>
              </w:rPr>
            </w:pPr>
          </w:p>
        </w:tc>
        <w:tc>
          <w:tcPr>
            <w:tcW w:w="867" w:type="pct"/>
            <w:shd w:val="clear" w:color="auto" w:fill="DBE5F1" w:themeFill="accent1" w:themeFillTint="33"/>
          </w:tcPr>
          <w:p w14:paraId="3C543D56" w14:textId="7C43718D" w:rsidR="00115769" w:rsidRPr="004C12F8" w:rsidRDefault="00115769" w:rsidP="00115769">
            <w:pPr>
              <w:rPr>
                <w:sz w:val="20"/>
                <w:szCs w:val="20"/>
              </w:rPr>
            </w:pPr>
            <w:r w:rsidRPr="004C12F8">
              <w:rPr>
                <w:sz w:val="20"/>
                <w:szCs w:val="20"/>
              </w:rPr>
              <w:t>Electronic Document</w:t>
            </w:r>
          </w:p>
        </w:tc>
        <w:tc>
          <w:tcPr>
            <w:tcW w:w="1107" w:type="pct"/>
            <w:shd w:val="clear" w:color="auto" w:fill="DBE5F1" w:themeFill="accent1" w:themeFillTint="33"/>
          </w:tcPr>
          <w:p w14:paraId="70A11222" w14:textId="6E419058" w:rsidR="00AC6501" w:rsidRPr="004C12F8" w:rsidRDefault="00115769" w:rsidP="00AC6501">
            <w:pPr>
              <w:rPr>
                <w:sz w:val="20"/>
                <w:szCs w:val="20"/>
              </w:rPr>
            </w:pPr>
            <w:r w:rsidRPr="004C12F8">
              <w:rPr>
                <w:sz w:val="20"/>
                <w:szCs w:val="20"/>
              </w:rPr>
              <w:t>S3.3_</w:t>
            </w:r>
            <w:r w:rsidR="00AC6501" w:rsidRPr="004C12F8">
              <w:rPr>
                <w:sz w:val="20"/>
                <w:szCs w:val="20"/>
              </w:rPr>
              <w:t xml:space="preserve"> Conditional Acceptance</w:t>
            </w:r>
          </w:p>
          <w:p w14:paraId="172F6E00" w14:textId="124B5FA6" w:rsidR="00115769" w:rsidRPr="004C12F8" w:rsidRDefault="00115769" w:rsidP="00115769">
            <w:pPr>
              <w:rPr>
                <w:sz w:val="20"/>
                <w:szCs w:val="20"/>
              </w:rPr>
            </w:pPr>
            <w:r w:rsidRPr="004C12F8">
              <w:rPr>
                <w:sz w:val="20"/>
                <w:szCs w:val="20"/>
              </w:rPr>
              <w:t>Policy</w:t>
            </w:r>
          </w:p>
        </w:tc>
        <w:tc>
          <w:tcPr>
            <w:tcW w:w="1922" w:type="pct"/>
            <w:shd w:val="clear" w:color="auto" w:fill="DBE5F1" w:themeFill="accent1" w:themeFillTint="33"/>
          </w:tcPr>
          <w:p w14:paraId="119BBB16" w14:textId="6FDDCB58" w:rsidR="00115769" w:rsidRPr="004C12F8" w:rsidRDefault="00115769" w:rsidP="00C60A21">
            <w:pPr>
              <w:rPr>
                <w:sz w:val="20"/>
                <w:szCs w:val="20"/>
              </w:rPr>
            </w:pPr>
            <w:r w:rsidRPr="004C12F8">
              <w:rPr>
                <w:sz w:val="20"/>
                <w:szCs w:val="20"/>
              </w:rPr>
              <w:t xml:space="preserve">Description of </w:t>
            </w:r>
            <w:r w:rsidR="00C60A21" w:rsidRPr="004C12F8">
              <w:rPr>
                <w:sz w:val="20"/>
                <w:szCs w:val="20"/>
              </w:rPr>
              <w:t xml:space="preserve">Conditional Acceptance </w:t>
            </w:r>
            <w:r w:rsidRPr="004C12F8">
              <w:rPr>
                <w:sz w:val="20"/>
                <w:szCs w:val="20"/>
              </w:rPr>
              <w:t>Policy for candidates admitted who do n</w:t>
            </w:r>
            <w:r w:rsidR="00802289">
              <w:rPr>
                <w:sz w:val="20"/>
                <w:szCs w:val="20"/>
              </w:rPr>
              <w:t>ot meet admissions requirements</w:t>
            </w:r>
          </w:p>
        </w:tc>
      </w:tr>
      <w:tr w:rsidR="00115769" w:rsidRPr="004C12F8" w14:paraId="32C4CD7E" w14:textId="77777777" w:rsidTr="00892785">
        <w:trPr>
          <w:trHeight w:val="809"/>
        </w:trPr>
        <w:tc>
          <w:tcPr>
            <w:tcW w:w="430" w:type="pct"/>
            <w:shd w:val="clear" w:color="auto" w:fill="DBE5F1" w:themeFill="accent1" w:themeFillTint="33"/>
          </w:tcPr>
          <w:p w14:paraId="0E046CEB" w14:textId="1D5B0C64" w:rsidR="00115769" w:rsidRPr="004C12F8" w:rsidRDefault="00115769" w:rsidP="00115769">
            <w:pPr>
              <w:rPr>
                <w:sz w:val="20"/>
                <w:szCs w:val="20"/>
              </w:rPr>
            </w:pPr>
            <w:r w:rsidRPr="004C12F8">
              <w:rPr>
                <w:sz w:val="20"/>
                <w:szCs w:val="20"/>
              </w:rPr>
              <w:t>3.3</w:t>
            </w:r>
          </w:p>
        </w:tc>
        <w:tc>
          <w:tcPr>
            <w:tcW w:w="674" w:type="pct"/>
            <w:shd w:val="clear" w:color="auto" w:fill="DBE5F1" w:themeFill="accent1" w:themeFillTint="33"/>
          </w:tcPr>
          <w:p w14:paraId="05A39F12" w14:textId="77777777" w:rsidR="00AC6501" w:rsidRPr="004C12F8" w:rsidRDefault="00AC6501" w:rsidP="00AC6501">
            <w:pPr>
              <w:rPr>
                <w:sz w:val="20"/>
                <w:szCs w:val="20"/>
              </w:rPr>
            </w:pPr>
            <w:r w:rsidRPr="004C12F8">
              <w:rPr>
                <w:sz w:val="20"/>
                <w:szCs w:val="20"/>
              </w:rPr>
              <w:t>Conditional Acceptance</w:t>
            </w:r>
          </w:p>
          <w:p w14:paraId="3183EE97" w14:textId="4DBA783D" w:rsidR="00115769" w:rsidRPr="004C12F8" w:rsidRDefault="00115769" w:rsidP="00115769">
            <w:pPr>
              <w:rPr>
                <w:sz w:val="20"/>
                <w:szCs w:val="20"/>
              </w:rPr>
            </w:pPr>
            <w:r w:rsidRPr="004C12F8">
              <w:rPr>
                <w:sz w:val="20"/>
                <w:szCs w:val="20"/>
              </w:rPr>
              <w:t>Tracking</w:t>
            </w:r>
          </w:p>
        </w:tc>
        <w:tc>
          <w:tcPr>
            <w:tcW w:w="867" w:type="pct"/>
            <w:shd w:val="clear" w:color="auto" w:fill="DBE5F1" w:themeFill="accent1" w:themeFillTint="33"/>
          </w:tcPr>
          <w:p w14:paraId="58D53797" w14:textId="426818D9" w:rsidR="00115769" w:rsidRPr="004C12F8" w:rsidRDefault="00115769" w:rsidP="00115769">
            <w:pPr>
              <w:rPr>
                <w:sz w:val="20"/>
                <w:szCs w:val="20"/>
              </w:rPr>
            </w:pPr>
            <w:r w:rsidRPr="004C12F8">
              <w:rPr>
                <w:sz w:val="20"/>
                <w:szCs w:val="20"/>
              </w:rPr>
              <w:t>Electronic Document</w:t>
            </w:r>
          </w:p>
        </w:tc>
        <w:tc>
          <w:tcPr>
            <w:tcW w:w="1107" w:type="pct"/>
            <w:shd w:val="clear" w:color="auto" w:fill="DBE5F1" w:themeFill="accent1" w:themeFillTint="33"/>
          </w:tcPr>
          <w:p w14:paraId="3D7B8103" w14:textId="461116F9" w:rsidR="00AC6501" w:rsidRPr="004C12F8" w:rsidRDefault="00115769" w:rsidP="00AC6501">
            <w:pPr>
              <w:rPr>
                <w:sz w:val="20"/>
                <w:szCs w:val="20"/>
              </w:rPr>
            </w:pPr>
            <w:r w:rsidRPr="004C12F8">
              <w:rPr>
                <w:sz w:val="20"/>
                <w:szCs w:val="20"/>
              </w:rPr>
              <w:t>S3.3_</w:t>
            </w:r>
            <w:r w:rsidR="00AC6501" w:rsidRPr="004C12F8">
              <w:rPr>
                <w:sz w:val="20"/>
                <w:szCs w:val="20"/>
              </w:rPr>
              <w:t xml:space="preserve"> Conditional Acceptance</w:t>
            </w:r>
          </w:p>
          <w:p w14:paraId="2D64D353" w14:textId="644B72AF" w:rsidR="00115769" w:rsidRPr="004C12F8" w:rsidRDefault="00115769" w:rsidP="00115769">
            <w:pPr>
              <w:rPr>
                <w:sz w:val="20"/>
                <w:szCs w:val="20"/>
              </w:rPr>
            </w:pPr>
            <w:r w:rsidRPr="004C12F8">
              <w:rPr>
                <w:sz w:val="20"/>
                <w:szCs w:val="20"/>
              </w:rPr>
              <w:t>Tracking</w:t>
            </w:r>
          </w:p>
        </w:tc>
        <w:tc>
          <w:tcPr>
            <w:tcW w:w="1922" w:type="pct"/>
            <w:shd w:val="clear" w:color="auto" w:fill="DBE5F1" w:themeFill="accent1" w:themeFillTint="33"/>
          </w:tcPr>
          <w:p w14:paraId="100BE109" w14:textId="1ED637CE" w:rsidR="00115769" w:rsidRPr="004C12F8" w:rsidRDefault="00115769" w:rsidP="00DF6A06">
            <w:pPr>
              <w:rPr>
                <w:sz w:val="20"/>
                <w:szCs w:val="20"/>
              </w:rPr>
            </w:pPr>
            <w:r w:rsidRPr="004C12F8">
              <w:rPr>
                <w:sz w:val="20"/>
                <w:szCs w:val="20"/>
              </w:rPr>
              <w:t xml:space="preserve">Materials, policies, and information relating to the name, number, and outcomes of </w:t>
            </w:r>
            <w:r w:rsidR="00DF6A06" w:rsidRPr="004C12F8">
              <w:rPr>
                <w:sz w:val="20"/>
                <w:szCs w:val="20"/>
              </w:rPr>
              <w:t>conditional acceptance</w:t>
            </w:r>
            <w:r w:rsidR="00802289">
              <w:rPr>
                <w:sz w:val="20"/>
                <w:szCs w:val="20"/>
              </w:rPr>
              <w:t xml:space="preserve"> for the last three years</w:t>
            </w:r>
          </w:p>
        </w:tc>
      </w:tr>
      <w:tr w:rsidR="00EB6C3A" w:rsidRPr="004C12F8" w14:paraId="7B60446D" w14:textId="77777777" w:rsidTr="00892785">
        <w:trPr>
          <w:trHeight w:val="809"/>
        </w:trPr>
        <w:tc>
          <w:tcPr>
            <w:tcW w:w="430" w:type="pct"/>
            <w:shd w:val="clear" w:color="auto" w:fill="DBE5F1" w:themeFill="accent1" w:themeFillTint="33"/>
          </w:tcPr>
          <w:p w14:paraId="7BB6AFE6" w14:textId="6D25F089" w:rsidR="00EB6C3A" w:rsidRPr="004C12F8" w:rsidRDefault="00EB6C3A" w:rsidP="00EB6C3A">
            <w:pPr>
              <w:rPr>
                <w:sz w:val="20"/>
                <w:szCs w:val="20"/>
              </w:rPr>
            </w:pPr>
            <w:r w:rsidRPr="004C12F8">
              <w:rPr>
                <w:sz w:val="20"/>
                <w:szCs w:val="20"/>
              </w:rPr>
              <w:t>3.6</w:t>
            </w:r>
          </w:p>
        </w:tc>
        <w:tc>
          <w:tcPr>
            <w:tcW w:w="674" w:type="pct"/>
            <w:shd w:val="clear" w:color="auto" w:fill="DBE5F1" w:themeFill="accent1" w:themeFillTint="33"/>
          </w:tcPr>
          <w:p w14:paraId="2A8708F6" w14:textId="6A079382" w:rsidR="00EB6C3A" w:rsidRPr="004C12F8" w:rsidRDefault="00EB6C3A" w:rsidP="00EB6C3A">
            <w:pPr>
              <w:rPr>
                <w:sz w:val="20"/>
                <w:szCs w:val="20"/>
              </w:rPr>
            </w:pPr>
            <w:r w:rsidRPr="004C12F8">
              <w:rPr>
                <w:sz w:val="20"/>
                <w:szCs w:val="20"/>
              </w:rPr>
              <w:t xml:space="preserve">Additional Selectivity Criteria </w:t>
            </w:r>
          </w:p>
        </w:tc>
        <w:tc>
          <w:tcPr>
            <w:tcW w:w="867" w:type="pct"/>
            <w:shd w:val="clear" w:color="auto" w:fill="DBE5F1" w:themeFill="accent1" w:themeFillTint="33"/>
          </w:tcPr>
          <w:p w14:paraId="196F8954" w14:textId="32448F8B" w:rsidR="00EB6C3A" w:rsidRPr="004C12F8" w:rsidRDefault="00EB6C3A" w:rsidP="00EB6C3A">
            <w:pPr>
              <w:rPr>
                <w:sz w:val="20"/>
                <w:szCs w:val="20"/>
              </w:rPr>
            </w:pPr>
            <w:r w:rsidRPr="004C12F8">
              <w:rPr>
                <w:sz w:val="20"/>
                <w:szCs w:val="20"/>
              </w:rPr>
              <w:t>Electronic Document</w:t>
            </w:r>
          </w:p>
        </w:tc>
        <w:tc>
          <w:tcPr>
            <w:tcW w:w="1107" w:type="pct"/>
            <w:shd w:val="clear" w:color="auto" w:fill="DBE5F1" w:themeFill="accent1" w:themeFillTint="33"/>
          </w:tcPr>
          <w:p w14:paraId="66F42BB0" w14:textId="0B439DD1" w:rsidR="00EB6C3A" w:rsidRPr="004C12F8" w:rsidRDefault="00EB6C3A" w:rsidP="00EB6C3A">
            <w:pPr>
              <w:rPr>
                <w:sz w:val="20"/>
                <w:szCs w:val="20"/>
              </w:rPr>
            </w:pPr>
            <w:r w:rsidRPr="004C12F8">
              <w:rPr>
                <w:sz w:val="20"/>
                <w:szCs w:val="20"/>
              </w:rPr>
              <w:t>S3.6_SelectivityCriteria</w:t>
            </w:r>
          </w:p>
        </w:tc>
        <w:tc>
          <w:tcPr>
            <w:tcW w:w="1922" w:type="pct"/>
            <w:shd w:val="clear" w:color="auto" w:fill="DBE5F1" w:themeFill="accent1" w:themeFillTint="33"/>
          </w:tcPr>
          <w:p w14:paraId="403CE66A" w14:textId="20504D40" w:rsidR="00EB6C3A" w:rsidRPr="004C12F8" w:rsidRDefault="00EB6C3A" w:rsidP="001C116A">
            <w:pPr>
              <w:rPr>
                <w:sz w:val="20"/>
                <w:szCs w:val="20"/>
              </w:rPr>
            </w:pPr>
            <w:r w:rsidRPr="004C12F8">
              <w:rPr>
                <w:sz w:val="20"/>
                <w:szCs w:val="20"/>
              </w:rPr>
              <w:t>Materials and information that were used to define additional selectivity criteria (profes</w:t>
            </w:r>
            <w:r w:rsidR="00802289">
              <w:rPr>
                <w:sz w:val="20"/>
                <w:szCs w:val="20"/>
              </w:rPr>
              <w:t>sional dispositions and traits)</w:t>
            </w:r>
          </w:p>
        </w:tc>
      </w:tr>
      <w:tr w:rsidR="00BC1AC1" w:rsidRPr="004C12F8" w14:paraId="6B9A66C3" w14:textId="77777777" w:rsidTr="00892785">
        <w:trPr>
          <w:trHeight w:val="809"/>
        </w:trPr>
        <w:tc>
          <w:tcPr>
            <w:tcW w:w="430" w:type="pct"/>
            <w:shd w:val="clear" w:color="auto" w:fill="DBE5F1" w:themeFill="accent1" w:themeFillTint="33"/>
          </w:tcPr>
          <w:p w14:paraId="6FEB2C39" w14:textId="32B0DB07" w:rsidR="00BC1AC1" w:rsidRPr="004C12F8" w:rsidRDefault="00BC1AC1" w:rsidP="00EB6C3A">
            <w:pPr>
              <w:rPr>
                <w:sz w:val="20"/>
                <w:szCs w:val="20"/>
              </w:rPr>
            </w:pPr>
            <w:r w:rsidRPr="004C12F8">
              <w:rPr>
                <w:sz w:val="20"/>
                <w:szCs w:val="20"/>
              </w:rPr>
              <w:t>3.6</w:t>
            </w:r>
          </w:p>
        </w:tc>
        <w:tc>
          <w:tcPr>
            <w:tcW w:w="674" w:type="pct"/>
            <w:shd w:val="clear" w:color="auto" w:fill="DBE5F1" w:themeFill="accent1" w:themeFillTint="33"/>
          </w:tcPr>
          <w:p w14:paraId="45CF5FCD" w14:textId="77777777" w:rsidR="00BC1AC1" w:rsidRPr="004C12F8" w:rsidRDefault="00BC1AC1" w:rsidP="007924BD">
            <w:pPr>
              <w:rPr>
                <w:sz w:val="20"/>
                <w:szCs w:val="20"/>
              </w:rPr>
            </w:pPr>
            <w:r w:rsidRPr="004C12F8">
              <w:rPr>
                <w:sz w:val="20"/>
                <w:szCs w:val="20"/>
              </w:rPr>
              <w:t>Additional Selectivity Criteria Instruments</w:t>
            </w:r>
          </w:p>
          <w:p w14:paraId="2C0C8749" w14:textId="77777777" w:rsidR="00BC1AC1" w:rsidRPr="004C12F8" w:rsidRDefault="00BC1AC1" w:rsidP="00EB6C3A">
            <w:pPr>
              <w:rPr>
                <w:sz w:val="20"/>
                <w:szCs w:val="20"/>
              </w:rPr>
            </w:pPr>
          </w:p>
        </w:tc>
        <w:tc>
          <w:tcPr>
            <w:tcW w:w="867" w:type="pct"/>
            <w:shd w:val="clear" w:color="auto" w:fill="DBE5F1" w:themeFill="accent1" w:themeFillTint="33"/>
          </w:tcPr>
          <w:p w14:paraId="77AEC9AB" w14:textId="3F9B2785" w:rsidR="00BC1AC1" w:rsidRPr="004C12F8" w:rsidRDefault="00BC1AC1" w:rsidP="00EB6C3A">
            <w:pPr>
              <w:rPr>
                <w:sz w:val="20"/>
                <w:szCs w:val="20"/>
              </w:rPr>
            </w:pPr>
            <w:r w:rsidRPr="004C12F8">
              <w:rPr>
                <w:sz w:val="20"/>
                <w:szCs w:val="20"/>
              </w:rPr>
              <w:t>Electronic Document</w:t>
            </w:r>
          </w:p>
        </w:tc>
        <w:tc>
          <w:tcPr>
            <w:tcW w:w="1107" w:type="pct"/>
            <w:shd w:val="clear" w:color="auto" w:fill="DBE5F1" w:themeFill="accent1" w:themeFillTint="33"/>
          </w:tcPr>
          <w:p w14:paraId="077B9046" w14:textId="3E47F04F" w:rsidR="00BC1AC1" w:rsidRPr="004C12F8" w:rsidRDefault="00BC1AC1" w:rsidP="00EB6C3A">
            <w:pPr>
              <w:rPr>
                <w:sz w:val="20"/>
                <w:szCs w:val="20"/>
              </w:rPr>
            </w:pPr>
            <w:r w:rsidRPr="004C12F8">
              <w:rPr>
                <w:sz w:val="20"/>
                <w:szCs w:val="20"/>
              </w:rPr>
              <w:t>S3.6_SelectivityCriteria</w:t>
            </w:r>
          </w:p>
        </w:tc>
        <w:tc>
          <w:tcPr>
            <w:tcW w:w="1922" w:type="pct"/>
            <w:shd w:val="clear" w:color="auto" w:fill="DBE5F1" w:themeFill="accent1" w:themeFillTint="33"/>
          </w:tcPr>
          <w:p w14:paraId="2A5A772B" w14:textId="067988CF" w:rsidR="00BC1AC1" w:rsidRPr="004C12F8" w:rsidRDefault="00BC1AC1" w:rsidP="00EB6C3A">
            <w:pPr>
              <w:rPr>
                <w:sz w:val="20"/>
                <w:szCs w:val="20"/>
              </w:rPr>
            </w:pPr>
            <w:r w:rsidRPr="004C12F8">
              <w:rPr>
                <w:sz w:val="20"/>
                <w:szCs w:val="20"/>
              </w:rPr>
              <w:t>Assessment instruments used to evaluate other selectivity criteria (e.g., professional dispositions and traits) prior to student teaching and at r</w:t>
            </w:r>
            <w:r w:rsidR="00802289">
              <w:rPr>
                <w:sz w:val="20"/>
                <w:szCs w:val="20"/>
              </w:rPr>
              <w:t>ecommendation for certification</w:t>
            </w:r>
          </w:p>
        </w:tc>
      </w:tr>
    </w:tbl>
    <w:p w14:paraId="0B85D3F0" w14:textId="380F056B" w:rsidR="00230542" w:rsidRPr="004C12F8" w:rsidRDefault="00230542">
      <w:pPr>
        <w:rPr>
          <w:b/>
          <w:color w:val="4F81BD" w:themeColor="accent1"/>
          <w:sz w:val="20"/>
          <w:szCs w:val="20"/>
        </w:rPr>
      </w:pPr>
    </w:p>
    <w:sectPr w:rsidR="00230542" w:rsidRPr="004C12F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B4B03" w14:textId="77777777" w:rsidR="00252523" w:rsidRDefault="00252523" w:rsidP="00186DE4">
      <w:pPr>
        <w:spacing w:after="0" w:line="240" w:lineRule="auto"/>
      </w:pPr>
      <w:r>
        <w:separator/>
      </w:r>
    </w:p>
  </w:endnote>
  <w:endnote w:type="continuationSeparator" w:id="0">
    <w:p w14:paraId="4EEB4AE9" w14:textId="77777777" w:rsidR="00252523" w:rsidRDefault="00252523" w:rsidP="0018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02339"/>
      <w:docPartObj>
        <w:docPartGallery w:val="Page Numbers (Bottom of Page)"/>
        <w:docPartUnique/>
      </w:docPartObj>
    </w:sdtPr>
    <w:sdtEndPr>
      <w:rPr>
        <w:noProof/>
      </w:rPr>
    </w:sdtEndPr>
    <w:sdtContent>
      <w:p w14:paraId="058215F6" w14:textId="3719BD6C" w:rsidR="00E21D50" w:rsidRDefault="00E21D50">
        <w:pPr>
          <w:pStyle w:val="Footer"/>
          <w:jc w:val="right"/>
        </w:pPr>
        <w:r>
          <w:fldChar w:fldCharType="begin"/>
        </w:r>
        <w:r>
          <w:instrText xml:space="preserve"> PAGE   \* MERGEFORMAT </w:instrText>
        </w:r>
        <w:r>
          <w:fldChar w:fldCharType="separate"/>
        </w:r>
        <w:r w:rsidR="00802289">
          <w:rPr>
            <w:noProof/>
          </w:rPr>
          <w:t>1</w:t>
        </w:r>
        <w:r>
          <w:rPr>
            <w:noProof/>
          </w:rPr>
          <w:fldChar w:fldCharType="end"/>
        </w:r>
      </w:p>
    </w:sdtContent>
  </w:sdt>
  <w:p w14:paraId="55DFF63A" w14:textId="5CB4BEEE" w:rsidR="00E21D50" w:rsidRDefault="0020444A">
    <w:pPr>
      <w:pStyle w:val="Footer"/>
    </w:pPr>
    <w:r>
      <w:rPr>
        <w:sz w:val="18"/>
        <w:szCs w:val="18"/>
      </w:rPr>
      <w:fldChar w:fldCharType="begin"/>
    </w:r>
    <w:r>
      <w:rPr>
        <w:sz w:val="18"/>
        <w:szCs w:val="18"/>
      </w:rPr>
      <w:instrText xml:space="preserve"> DATE \@ "M/d/yyyy" </w:instrText>
    </w:r>
    <w:r>
      <w:rPr>
        <w:sz w:val="18"/>
        <w:szCs w:val="18"/>
      </w:rPr>
      <w:fldChar w:fldCharType="separate"/>
    </w:r>
    <w:r w:rsidR="00802289">
      <w:rPr>
        <w:noProof/>
        <w:sz w:val="18"/>
        <w:szCs w:val="18"/>
      </w:rPr>
      <w:t>2/8/2017</w:t>
    </w:r>
    <w:r>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B0224" w14:textId="77777777" w:rsidR="00252523" w:rsidRDefault="00252523" w:rsidP="00186DE4">
      <w:pPr>
        <w:spacing w:after="0" w:line="240" w:lineRule="auto"/>
      </w:pPr>
      <w:r>
        <w:separator/>
      </w:r>
    </w:p>
  </w:footnote>
  <w:footnote w:type="continuationSeparator" w:id="0">
    <w:p w14:paraId="03E7D153" w14:textId="77777777" w:rsidR="00252523" w:rsidRDefault="00252523" w:rsidP="0018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D934" w14:textId="2650AC20" w:rsidR="007F12B7" w:rsidRPr="00E9088A" w:rsidRDefault="00E9088A" w:rsidP="00E9088A">
    <w:pPr>
      <w:pStyle w:val="Header"/>
      <w:jc w:val="right"/>
    </w:pPr>
    <w:r>
      <w:rPr>
        <w:rFonts w:cs="Segoe UI"/>
        <w:b/>
        <w:color w:val="1F497D" w:themeColor="text2"/>
        <w:sz w:val="28"/>
        <w:szCs w:val="28"/>
      </w:rPr>
      <w:t xml:space="preserve">ON-SITE EVIDENCE ORGANIZER: </w:t>
    </w:r>
    <w:r>
      <w:rPr>
        <w:rFonts w:cs="Segoe UI"/>
        <w:color w:val="1F497D" w:themeColor="text2"/>
        <w:sz w:val="28"/>
        <w:szCs w:val="28"/>
      </w:rPr>
      <w:t xml:space="preserve">Standard </w:t>
    </w:r>
    <w:r w:rsidRPr="00C44508">
      <w:rPr>
        <w:rFonts w:cs="Segoe UI"/>
        <w:b/>
        <w:noProof/>
        <w:color w:val="1F497D" w:themeColor="text2"/>
        <w:sz w:val="28"/>
        <w:szCs w:val="28"/>
      </w:rPr>
      <w:drawing>
        <wp:anchor distT="0" distB="0" distL="114300" distR="114300" simplePos="0" relativeHeight="251659264" behindDoc="0" locked="0" layoutInCell="1" allowOverlap="1" wp14:anchorId="3AFAFB93" wp14:editId="3859BB2C">
          <wp:simplePos x="0" y="0"/>
          <wp:positionH relativeFrom="column">
            <wp:posOffset>-297180</wp:posOffset>
          </wp:positionH>
          <wp:positionV relativeFrom="paragraph">
            <wp:posOffset>-243205</wp:posOffset>
          </wp:positionV>
          <wp:extent cx="2181225" cy="474179"/>
          <wp:effectExtent l="0" t="0" r="0" b="2540"/>
          <wp:wrapNone/>
          <wp:docPr id="2" name="Picture 2" descr="C:\Users\whitsa\AppData\Local\Microsoft\Windows\Temporary Internet Files\Content.Outlook\U3XUX9NB\PREP_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sa\AppData\Local\Microsoft\Windows\Temporary Internet Files\Content.Outlook\U3XUX9NB\PREP_R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7417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Segoe UI"/>
        <w:color w:val="1F497D" w:themeColor="text2"/>
        <w:sz w:val="28"/>
        <w:szCs w:val="28"/>
      </w:rPr>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F63"/>
    <w:multiLevelType w:val="hybridMultilevel"/>
    <w:tmpl w:val="825EE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60143"/>
    <w:multiLevelType w:val="hybridMultilevel"/>
    <w:tmpl w:val="4412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65C84"/>
    <w:multiLevelType w:val="hybridMultilevel"/>
    <w:tmpl w:val="9A38E0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127EF"/>
    <w:multiLevelType w:val="hybridMultilevel"/>
    <w:tmpl w:val="5A6423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1203F07"/>
    <w:multiLevelType w:val="hybridMultilevel"/>
    <w:tmpl w:val="9A38E0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A3F0F"/>
    <w:multiLevelType w:val="hybridMultilevel"/>
    <w:tmpl w:val="9A38E0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E2FEC"/>
    <w:multiLevelType w:val="hybridMultilevel"/>
    <w:tmpl w:val="47B2E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CA7DE2"/>
    <w:multiLevelType w:val="hybridMultilevel"/>
    <w:tmpl w:val="59EE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A668C"/>
    <w:multiLevelType w:val="hybridMultilevel"/>
    <w:tmpl w:val="8C1C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010FE"/>
    <w:multiLevelType w:val="hybridMultilevel"/>
    <w:tmpl w:val="1BBA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F6DED"/>
    <w:multiLevelType w:val="hybridMultilevel"/>
    <w:tmpl w:val="EF727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8258B3"/>
    <w:multiLevelType w:val="hybridMultilevel"/>
    <w:tmpl w:val="3B24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4868BC"/>
    <w:multiLevelType w:val="hybridMultilevel"/>
    <w:tmpl w:val="A5CC284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37AA3224"/>
    <w:multiLevelType w:val="hybridMultilevel"/>
    <w:tmpl w:val="744E305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3A922FA6"/>
    <w:multiLevelType w:val="hybridMultilevel"/>
    <w:tmpl w:val="4BAA2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684BAE"/>
    <w:multiLevelType w:val="hybridMultilevel"/>
    <w:tmpl w:val="1680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901C1"/>
    <w:multiLevelType w:val="hybridMultilevel"/>
    <w:tmpl w:val="A84E3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FA56CA"/>
    <w:multiLevelType w:val="hybridMultilevel"/>
    <w:tmpl w:val="9A38E0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C3C60"/>
    <w:multiLevelType w:val="hybridMultilevel"/>
    <w:tmpl w:val="C62E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D314E0"/>
    <w:multiLevelType w:val="hybridMultilevel"/>
    <w:tmpl w:val="8BEEC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F4041C"/>
    <w:multiLevelType w:val="hybridMultilevel"/>
    <w:tmpl w:val="98A6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A4489"/>
    <w:multiLevelType w:val="hybridMultilevel"/>
    <w:tmpl w:val="EB1AC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A76ED1"/>
    <w:multiLevelType w:val="hybridMultilevel"/>
    <w:tmpl w:val="2C28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1271B8"/>
    <w:multiLevelType w:val="hybridMultilevel"/>
    <w:tmpl w:val="FFE6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0"/>
  </w:num>
  <w:num w:numId="4">
    <w:abstractNumId w:val="19"/>
  </w:num>
  <w:num w:numId="5">
    <w:abstractNumId w:val="9"/>
  </w:num>
  <w:num w:numId="6">
    <w:abstractNumId w:val="18"/>
  </w:num>
  <w:num w:numId="7">
    <w:abstractNumId w:val="10"/>
  </w:num>
  <w:num w:numId="8">
    <w:abstractNumId w:val="16"/>
  </w:num>
  <w:num w:numId="9">
    <w:abstractNumId w:val="6"/>
  </w:num>
  <w:num w:numId="10">
    <w:abstractNumId w:val="11"/>
  </w:num>
  <w:num w:numId="11">
    <w:abstractNumId w:val="1"/>
  </w:num>
  <w:num w:numId="12">
    <w:abstractNumId w:val="14"/>
  </w:num>
  <w:num w:numId="13">
    <w:abstractNumId w:val="20"/>
  </w:num>
  <w:num w:numId="14">
    <w:abstractNumId w:val="15"/>
  </w:num>
  <w:num w:numId="15">
    <w:abstractNumId w:val="3"/>
  </w:num>
  <w:num w:numId="16">
    <w:abstractNumId w:val="7"/>
  </w:num>
  <w:num w:numId="17">
    <w:abstractNumId w:val="22"/>
  </w:num>
  <w:num w:numId="18">
    <w:abstractNumId w:val="12"/>
  </w:num>
  <w:num w:numId="19">
    <w:abstractNumId w:val="13"/>
  </w:num>
  <w:num w:numId="20">
    <w:abstractNumId w:val="8"/>
  </w:num>
  <w:num w:numId="21">
    <w:abstractNumId w:val="17"/>
  </w:num>
  <w:num w:numId="22">
    <w:abstractNumId w:val="5"/>
  </w:num>
  <w:num w:numId="23">
    <w:abstractNumId w:val="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g/kWjpreQOd7syK8KwSHD3yzOPmcfuPzKTwIXe65xWFv/7JrrDQC5+2z/iJFSUQWMcrZhCpPMr/k646QEzc8CA==" w:salt="L95JX9STay+1j2I3bqCDN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E4"/>
    <w:rsid w:val="00041CEB"/>
    <w:rsid w:val="000673FF"/>
    <w:rsid w:val="00081E73"/>
    <w:rsid w:val="00091244"/>
    <w:rsid w:val="00092A61"/>
    <w:rsid w:val="000964D5"/>
    <w:rsid w:val="00097037"/>
    <w:rsid w:val="000A3775"/>
    <w:rsid w:val="000A6371"/>
    <w:rsid w:val="000B15AC"/>
    <w:rsid w:val="000B429E"/>
    <w:rsid w:val="000C5FF8"/>
    <w:rsid w:val="000C6474"/>
    <w:rsid w:val="000D1F43"/>
    <w:rsid w:val="000E79B8"/>
    <w:rsid w:val="000F5899"/>
    <w:rsid w:val="00102CE9"/>
    <w:rsid w:val="00103275"/>
    <w:rsid w:val="00104B37"/>
    <w:rsid w:val="00110C6B"/>
    <w:rsid w:val="00115769"/>
    <w:rsid w:val="00127503"/>
    <w:rsid w:val="00145632"/>
    <w:rsid w:val="00183603"/>
    <w:rsid w:val="00186DE4"/>
    <w:rsid w:val="00195FE3"/>
    <w:rsid w:val="001A2564"/>
    <w:rsid w:val="001A4DE2"/>
    <w:rsid w:val="001A5B07"/>
    <w:rsid w:val="001A5E8F"/>
    <w:rsid w:val="001B2331"/>
    <w:rsid w:val="001B2C9B"/>
    <w:rsid w:val="001B3CE5"/>
    <w:rsid w:val="001C116A"/>
    <w:rsid w:val="001C6C2A"/>
    <w:rsid w:val="001D1E29"/>
    <w:rsid w:val="001E0DAF"/>
    <w:rsid w:val="001F3812"/>
    <w:rsid w:val="002025A8"/>
    <w:rsid w:val="0020444A"/>
    <w:rsid w:val="00206970"/>
    <w:rsid w:val="002156E9"/>
    <w:rsid w:val="00230542"/>
    <w:rsid w:val="00230C9F"/>
    <w:rsid w:val="00252523"/>
    <w:rsid w:val="002548BB"/>
    <w:rsid w:val="00256496"/>
    <w:rsid w:val="00257BA8"/>
    <w:rsid w:val="00262BF2"/>
    <w:rsid w:val="00262F53"/>
    <w:rsid w:val="00283665"/>
    <w:rsid w:val="002A246E"/>
    <w:rsid w:val="002A261B"/>
    <w:rsid w:val="002A6E19"/>
    <w:rsid w:val="002D6BFA"/>
    <w:rsid w:val="002E6A9B"/>
    <w:rsid w:val="002F3D56"/>
    <w:rsid w:val="002F6070"/>
    <w:rsid w:val="0030006A"/>
    <w:rsid w:val="00304A11"/>
    <w:rsid w:val="00307EA7"/>
    <w:rsid w:val="00314871"/>
    <w:rsid w:val="0036370A"/>
    <w:rsid w:val="003768BF"/>
    <w:rsid w:val="00381E4C"/>
    <w:rsid w:val="0038458B"/>
    <w:rsid w:val="00397342"/>
    <w:rsid w:val="003A0B2C"/>
    <w:rsid w:val="003B0D7C"/>
    <w:rsid w:val="003B5B84"/>
    <w:rsid w:val="003B7763"/>
    <w:rsid w:val="003C0EBA"/>
    <w:rsid w:val="003E648C"/>
    <w:rsid w:val="003F4C4E"/>
    <w:rsid w:val="004021EF"/>
    <w:rsid w:val="00402FF4"/>
    <w:rsid w:val="00430877"/>
    <w:rsid w:val="0043433E"/>
    <w:rsid w:val="004368F5"/>
    <w:rsid w:val="0044154A"/>
    <w:rsid w:val="00442AF2"/>
    <w:rsid w:val="004450B2"/>
    <w:rsid w:val="00445EF3"/>
    <w:rsid w:val="00451BA6"/>
    <w:rsid w:val="00456EC5"/>
    <w:rsid w:val="00461CC6"/>
    <w:rsid w:val="00463FCA"/>
    <w:rsid w:val="00466DDA"/>
    <w:rsid w:val="0047123D"/>
    <w:rsid w:val="00472591"/>
    <w:rsid w:val="004758A3"/>
    <w:rsid w:val="00480CDF"/>
    <w:rsid w:val="00483837"/>
    <w:rsid w:val="00491B89"/>
    <w:rsid w:val="004936F9"/>
    <w:rsid w:val="004B439F"/>
    <w:rsid w:val="004C12F8"/>
    <w:rsid w:val="004C3656"/>
    <w:rsid w:val="004D68B6"/>
    <w:rsid w:val="004E2340"/>
    <w:rsid w:val="004E3E56"/>
    <w:rsid w:val="004E54F7"/>
    <w:rsid w:val="004F0C95"/>
    <w:rsid w:val="004F4764"/>
    <w:rsid w:val="004F5789"/>
    <w:rsid w:val="005033E9"/>
    <w:rsid w:val="00514162"/>
    <w:rsid w:val="00517D14"/>
    <w:rsid w:val="005202C5"/>
    <w:rsid w:val="00523D2E"/>
    <w:rsid w:val="0053597A"/>
    <w:rsid w:val="00537885"/>
    <w:rsid w:val="005574A4"/>
    <w:rsid w:val="005602A9"/>
    <w:rsid w:val="005749E3"/>
    <w:rsid w:val="005840E2"/>
    <w:rsid w:val="005973EB"/>
    <w:rsid w:val="005A0D0F"/>
    <w:rsid w:val="005A7A69"/>
    <w:rsid w:val="005B3E30"/>
    <w:rsid w:val="005B5D64"/>
    <w:rsid w:val="005B7FEA"/>
    <w:rsid w:val="005C0B9E"/>
    <w:rsid w:val="005C3C46"/>
    <w:rsid w:val="005D6697"/>
    <w:rsid w:val="005E3AAC"/>
    <w:rsid w:val="005F1113"/>
    <w:rsid w:val="005F45B2"/>
    <w:rsid w:val="006016E7"/>
    <w:rsid w:val="00606C59"/>
    <w:rsid w:val="00614B7E"/>
    <w:rsid w:val="006208DA"/>
    <w:rsid w:val="006211FF"/>
    <w:rsid w:val="00631329"/>
    <w:rsid w:val="0063395F"/>
    <w:rsid w:val="00671806"/>
    <w:rsid w:val="00675895"/>
    <w:rsid w:val="00680159"/>
    <w:rsid w:val="006A6F41"/>
    <w:rsid w:val="006A7E63"/>
    <w:rsid w:val="006B7E93"/>
    <w:rsid w:val="006D0281"/>
    <w:rsid w:val="006D382F"/>
    <w:rsid w:val="006E747B"/>
    <w:rsid w:val="006F4D28"/>
    <w:rsid w:val="007031D6"/>
    <w:rsid w:val="007070AA"/>
    <w:rsid w:val="00716AC6"/>
    <w:rsid w:val="0072656D"/>
    <w:rsid w:val="00727EBC"/>
    <w:rsid w:val="007374A3"/>
    <w:rsid w:val="00744194"/>
    <w:rsid w:val="00751B75"/>
    <w:rsid w:val="00773541"/>
    <w:rsid w:val="00773BC5"/>
    <w:rsid w:val="007967B8"/>
    <w:rsid w:val="007B1DFF"/>
    <w:rsid w:val="007B31B8"/>
    <w:rsid w:val="007C359D"/>
    <w:rsid w:val="007D1B99"/>
    <w:rsid w:val="007D399E"/>
    <w:rsid w:val="007F12B7"/>
    <w:rsid w:val="007F4AC0"/>
    <w:rsid w:val="00802289"/>
    <w:rsid w:val="00803853"/>
    <w:rsid w:val="00820FBF"/>
    <w:rsid w:val="0082608B"/>
    <w:rsid w:val="00834E17"/>
    <w:rsid w:val="0084294B"/>
    <w:rsid w:val="00851906"/>
    <w:rsid w:val="0086082D"/>
    <w:rsid w:val="008861DA"/>
    <w:rsid w:val="0088741D"/>
    <w:rsid w:val="00892785"/>
    <w:rsid w:val="008B6FB1"/>
    <w:rsid w:val="008C1BA1"/>
    <w:rsid w:val="008D0E3B"/>
    <w:rsid w:val="008E1D50"/>
    <w:rsid w:val="008E2584"/>
    <w:rsid w:val="008F4195"/>
    <w:rsid w:val="0090392A"/>
    <w:rsid w:val="0091439E"/>
    <w:rsid w:val="00917865"/>
    <w:rsid w:val="00920AEA"/>
    <w:rsid w:val="00921ECD"/>
    <w:rsid w:val="009229EB"/>
    <w:rsid w:val="00925859"/>
    <w:rsid w:val="0094304F"/>
    <w:rsid w:val="009724A3"/>
    <w:rsid w:val="0097658D"/>
    <w:rsid w:val="00981FF9"/>
    <w:rsid w:val="00983C5C"/>
    <w:rsid w:val="009B26EC"/>
    <w:rsid w:val="009E6377"/>
    <w:rsid w:val="009F78DD"/>
    <w:rsid w:val="00A010EB"/>
    <w:rsid w:val="00A037E3"/>
    <w:rsid w:val="00A03A55"/>
    <w:rsid w:val="00A157CA"/>
    <w:rsid w:val="00A2472E"/>
    <w:rsid w:val="00A4110B"/>
    <w:rsid w:val="00A41D7B"/>
    <w:rsid w:val="00A44059"/>
    <w:rsid w:val="00A500B4"/>
    <w:rsid w:val="00A6043D"/>
    <w:rsid w:val="00A6645E"/>
    <w:rsid w:val="00A704DD"/>
    <w:rsid w:val="00A7232C"/>
    <w:rsid w:val="00A72C63"/>
    <w:rsid w:val="00A7673C"/>
    <w:rsid w:val="00A8090E"/>
    <w:rsid w:val="00A829C3"/>
    <w:rsid w:val="00A970DF"/>
    <w:rsid w:val="00A97D99"/>
    <w:rsid w:val="00AA47BA"/>
    <w:rsid w:val="00AA4E52"/>
    <w:rsid w:val="00AB575E"/>
    <w:rsid w:val="00AC04A7"/>
    <w:rsid w:val="00AC6501"/>
    <w:rsid w:val="00AD1D35"/>
    <w:rsid w:val="00AD7966"/>
    <w:rsid w:val="00B0353B"/>
    <w:rsid w:val="00B1107A"/>
    <w:rsid w:val="00B157AE"/>
    <w:rsid w:val="00B22ACB"/>
    <w:rsid w:val="00B31B5B"/>
    <w:rsid w:val="00B3690D"/>
    <w:rsid w:val="00B403A0"/>
    <w:rsid w:val="00B537F5"/>
    <w:rsid w:val="00B56739"/>
    <w:rsid w:val="00B62628"/>
    <w:rsid w:val="00B67867"/>
    <w:rsid w:val="00B951D0"/>
    <w:rsid w:val="00B9720E"/>
    <w:rsid w:val="00B977A7"/>
    <w:rsid w:val="00BB06B1"/>
    <w:rsid w:val="00BB0FA4"/>
    <w:rsid w:val="00BC1AC1"/>
    <w:rsid w:val="00BC2DFA"/>
    <w:rsid w:val="00BD72FD"/>
    <w:rsid w:val="00BE5CC6"/>
    <w:rsid w:val="00BE6840"/>
    <w:rsid w:val="00BE6928"/>
    <w:rsid w:val="00BF6DF9"/>
    <w:rsid w:val="00C11B6D"/>
    <w:rsid w:val="00C27E0E"/>
    <w:rsid w:val="00C40227"/>
    <w:rsid w:val="00C51408"/>
    <w:rsid w:val="00C60A21"/>
    <w:rsid w:val="00C67167"/>
    <w:rsid w:val="00C77218"/>
    <w:rsid w:val="00CA3155"/>
    <w:rsid w:val="00CB0FC4"/>
    <w:rsid w:val="00CD584D"/>
    <w:rsid w:val="00CD7802"/>
    <w:rsid w:val="00CE2D92"/>
    <w:rsid w:val="00CF1A62"/>
    <w:rsid w:val="00D148D1"/>
    <w:rsid w:val="00D20A1F"/>
    <w:rsid w:val="00D24C1D"/>
    <w:rsid w:val="00D25FA5"/>
    <w:rsid w:val="00D26EC1"/>
    <w:rsid w:val="00D271C9"/>
    <w:rsid w:val="00D31463"/>
    <w:rsid w:val="00D35298"/>
    <w:rsid w:val="00D477F9"/>
    <w:rsid w:val="00D52D03"/>
    <w:rsid w:val="00D614BB"/>
    <w:rsid w:val="00D61546"/>
    <w:rsid w:val="00D6796B"/>
    <w:rsid w:val="00D710D6"/>
    <w:rsid w:val="00D72A6A"/>
    <w:rsid w:val="00D90E48"/>
    <w:rsid w:val="00D91C53"/>
    <w:rsid w:val="00DA6E67"/>
    <w:rsid w:val="00DB3C8B"/>
    <w:rsid w:val="00DB47E8"/>
    <w:rsid w:val="00DB71D5"/>
    <w:rsid w:val="00DD2618"/>
    <w:rsid w:val="00DD37A7"/>
    <w:rsid w:val="00DD54BD"/>
    <w:rsid w:val="00DD56A5"/>
    <w:rsid w:val="00DE4067"/>
    <w:rsid w:val="00DF6A06"/>
    <w:rsid w:val="00E160A8"/>
    <w:rsid w:val="00E21D50"/>
    <w:rsid w:val="00E43412"/>
    <w:rsid w:val="00E54B03"/>
    <w:rsid w:val="00E554D4"/>
    <w:rsid w:val="00E55A0E"/>
    <w:rsid w:val="00E725DD"/>
    <w:rsid w:val="00E9088A"/>
    <w:rsid w:val="00EB04F7"/>
    <w:rsid w:val="00EB47B9"/>
    <w:rsid w:val="00EB6C3A"/>
    <w:rsid w:val="00ED123D"/>
    <w:rsid w:val="00EE1893"/>
    <w:rsid w:val="00EE1D01"/>
    <w:rsid w:val="00EE578F"/>
    <w:rsid w:val="00EE6146"/>
    <w:rsid w:val="00EF06F0"/>
    <w:rsid w:val="00F01F40"/>
    <w:rsid w:val="00F05011"/>
    <w:rsid w:val="00F07B32"/>
    <w:rsid w:val="00F15C2A"/>
    <w:rsid w:val="00F203E4"/>
    <w:rsid w:val="00F23066"/>
    <w:rsid w:val="00F30D58"/>
    <w:rsid w:val="00F35FA8"/>
    <w:rsid w:val="00F37B4C"/>
    <w:rsid w:val="00F42648"/>
    <w:rsid w:val="00F4700A"/>
    <w:rsid w:val="00F50535"/>
    <w:rsid w:val="00F50F7B"/>
    <w:rsid w:val="00F51100"/>
    <w:rsid w:val="00F53ABA"/>
    <w:rsid w:val="00F57F71"/>
    <w:rsid w:val="00F77747"/>
    <w:rsid w:val="00F87D0A"/>
    <w:rsid w:val="00FB445C"/>
    <w:rsid w:val="00FB5995"/>
    <w:rsid w:val="00FC3DDF"/>
    <w:rsid w:val="00FD1965"/>
    <w:rsid w:val="00FD20B8"/>
    <w:rsid w:val="00FD70C1"/>
    <w:rsid w:val="00FF4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DBD05B"/>
  <w15:docId w15:val="{7F3A091D-BE78-4DB7-9409-387A19B4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DE4"/>
  </w:style>
  <w:style w:type="paragraph" w:styleId="Footer">
    <w:name w:val="footer"/>
    <w:basedOn w:val="Normal"/>
    <w:link w:val="FooterChar"/>
    <w:uiPriority w:val="99"/>
    <w:unhideWhenUsed/>
    <w:rsid w:val="00186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DE4"/>
  </w:style>
  <w:style w:type="table" w:styleId="TableGrid">
    <w:name w:val="Table Grid"/>
    <w:basedOn w:val="TableNormal"/>
    <w:uiPriority w:val="59"/>
    <w:rsid w:val="00A50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0B4"/>
    <w:pPr>
      <w:ind w:left="720"/>
      <w:contextualSpacing/>
    </w:pPr>
  </w:style>
  <w:style w:type="paragraph" w:styleId="BalloonText">
    <w:name w:val="Balloon Text"/>
    <w:basedOn w:val="Normal"/>
    <w:link w:val="BalloonTextChar"/>
    <w:uiPriority w:val="99"/>
    <w:semiHidden/>
    <w:unhideWhenUsed/>
    <w:rsid w:val="00A50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0B4"/>
    <w:rPr>
      <w:rFonts w:ascii="Tahoma" w:hAnsi="Tahoma" w:cs="Tahoma"/>
      <w:sz w:val="16"/>
      <w:szCs w:val="16"/>
    </w:rPr>
  </w:style>
  <w:style w:type="paragraph" w:styleId="CommentText">
    <w:name w:val="annotation text"/>
    <w:basedOn w:val="Normal"/>
    <w:link w:val="CommentTextChar"/>
    <w:uiPriority w:val="99"/>
    <w:unhideWhenUsed/>
    <w:rsid w:val="005202C5"/>
    <w:pPr>
      <w:spacing w:line="240" w:lineRule="auto"/>
    </w:pPr>
    <w:rPr>
      <w:sz w:val="20"/>
      <w:szCs w:val="20"/>
    </w:rPr>
  </w:style>
  <w:style w:type="character" w:customStyle="1" w:styleId="CommentTextChar">
    <w:name w:val="Comment Text Char"/>
    <w:basedOn w:val="DefaultParagraphFont"/>
    <w:link w:val="CommentText"/>
    <w:uiPriority w:val="99"/>
    <w:rsid w:val="005202C5"/>
    <w:rPr>
      <w:sz w:val="20"/>
      <w:szCs w:val="20"/>
    </w:rPr>
  </w:style>
  <w:style w:type="paragraph" w:styleId="CommentSubject">
    <w:name w:val="annotation subject"/>
    <w:basedOn w:val="CommentText"/>
    <w:next w:val="CommentText"/>
    <w:link w:val="CommentSubjectChar"/>
    <w:uiPriority w:val="99"/>
    <w:semiHidden/>
    <w:unhideWhenUsed/>
    <w:rsid w:val="005202C5"/>
    <w:rPr>
      <w:b/>
      <w:bCs/>
    </w:rPr>
  </w:style>
  <w:style w:type="character" w:customStyle="1" w:styleId="CommentSubjectChar">
    <w:name w:val="Comment Subject Char"/>
    <w:basedOn w:val="CommentTextChar"/>
    <w:link w:val="CommentSubject"/>
    <w:uiPriority w:val="99"/>
    <w:semiHidden/>
    <w:rsid w:val="005202C5"/>
    <w:rPr>
      <w:b/>
      <w:bCs/>
      <w:sz w:val="20"/>
      <w:szCs w:val="20"/>
    </w:rPr>
  </w:style>
  <w:style w:type="character" w:styleId="CommentReference">
    <w:name w:val="annotation reference"/>
    <w:basedOn w:val="DefaultParagraphFont"/>
    <w:uiPriority w:val="99"/>
    <w:semiHidden/>
    <w:unhideWhenUsed/>
    <w:rsid w:val="005202C5"/>
    <w:rPr>
      <w:sz w:val="16"/>
      <w:szCs w:val="16"/>
    </w:rPr>
  </w:style>
  <w:style w:type="paragraph" w:styleId="FootnoteText">
    <w:name w:val="footnote text"/>
    <w:basedOn w:val="Normal"/>
    <w:link w:val="FootnoteTextChar"/>
    <w:uiPriority w:val="99"/>
    <w:unhideWhenUsed/>
    <w:rsid w:val="00463FCA"/>
    <w:pPr>
      <w:spacing w:after="0" w:line="240" w:lineRule="auto"/>
    </w:pPr>
    <w:rPr>
      <w:sz w:val="20"/>
      <w:szCs w:val="20"/>
    </w:rPr>
  </w:style>
  <w:style w:type="character" w:customStyle="1" w:styleId="FootnoteTextChar">
    <w:name w:val="Footnote Text Char"/>
    <w:basedOn w:val="DefaultParagraphFont"/>
    <w:link w:val="FootnoteText"/>
    <w:uiPriority w:val="99"/>
    <w:rsid w:val="00463FCA"/>
    <w:rPr>
      <w:sz w:val="20"/>
      <w:szCs w:val="20"/>
    </w:rPr>
  </w:style>
  <w:style w:type="character" w:styleId="FootnoteReference">
    <w:name w:val="footnote reference"/>
    <w:basedOn w:val="DefaultParagraphFont"/>
    <w:uiPriority w:val="99"/>
    <w:unhideWhenUsed/>
    <w:rsid w:val="00463F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02DED44F503B043B64F661D1EA7E0CF" ma:contentTypeVersion="0" ma:contentTypeDescription="Create a new document." ma:contentTypeScope="" ma:versionID="8edd22cd1401e1f147b5063946ca9416">
  <xsd:schema xmlns:xsd="http://www.w3.org/2001/XMLSchema" xmlns:xs="http://www.w3.org/2001/XMLSchema" xmlns:p="http://schemas.microsoft.com/office/2006/metadata/properties" xmlns:ns2="80cfb65f-bd8b-4ecd-838f-4ac31d0dbd17" targetNamespace="http://schemas.microsoft.com/office/2006/metadata/properties" ma:root="true" ma:fieldsID="228eb094c2d310f95b5ad89eb58ad814" ns2:_="">
    <xsd:import namespace="80cfb65f-bd8b-4ecd-838f-4ac31d0dbd1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fb65f-bd8b-4ecd-838f-4ac31d0dbd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0cfb65f-bd8b-4ecd-838f-4ac31d0dbd17">TZDDWZS6CC75-102-160</_dlc_DocId>
    <_dlc_DocIdUrl xmlns="80cfb65f-bd8b-4ecd-838f-4ac31d0dbd17">
      <Url>http://sharepoint.ride.ri.gov/RIDE/EdQualitycertification/_layouts/DocIdRedir.aspx?ID=TZDDWZS6CC75-102-160</Url>
      <Description>TZDDWZS6CC75-102-160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7BFD7-943A-4958-B19C-7598D6599ABD}">
  <ds:schemaRefs>
    <ds:schemaRef ds:uri="http://schemas.microsoft.com/sharepoint/events"/>
  </ds:schemaRefs>
</ds:datastoreItem>
</file>

<file path=customXml/itemProps2.xml><?xml version="1.0" encoding="utf-8"?>
<ds:datastoreItem xmlns:ds="http://schemas.openxmlformats.org/officeDocument/2006/customXml" ds:itemID="{117D8439-2CBB-4EA4-BD73-D47634CC8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fb65f-bd8b-4ecd-838f-4ac31d0db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FA8C6-E1FD-4470-8712-693B4D0816A8}">
  <ds:schemaRefs>
    <ds:schemaRef ds:uri="http://schemas.microsoft.com/sharepoint/v3/contenttype/forms"/>
  </ds:schemaRefs>
</ds:datastoreItem>
</file>

<file path=customXml/itemProps4.xml><?xml version="1.0" encoding="utf-8"?>
<ds:datastoreItem xmlns:ds="http://schemas.openxmlformats.org/officeDocument/2006/customXml" ds:itemID="{D63C23A5-DCCC-461C-9FE6-DB6F4532B207}">
  <ds:schemaRefs>
    <ds:schemaRef ds:uri="http://schemas.microsoft.com/office/2006/metadata/properties"/>
    <ds:schemaRef ds:uri="http://schemas.microsoft.com/office/infopath/2007/PartnerControls"/>
    <ds:schemaRef ds:uri="80cfb65f-bd8b-4ecd-838f-4ac31d0dbd17"/>
  </ds:schemaRefs>
</ds:datastoreItem>
</file>

<file path=customXml/itemProps5.xml><?xml version="1.0" encoding="utf-8"?>
<ds:datastoreItem xmlns:ds="http://schemas.openxmlformats.org/officeDocument/2006/customXml" ds:itemID="{F398A3FF-A5DC-4B2A-A00A-72066587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Berube, Cameron</dc:creator>
  <cp:lastModifiedBy>Matlach, Lauren</cp:lastModifiedBy>
  <cp:revision>6</cp:revision>
  <cp:lastPrinted>2016-03-21T13:07:00Z</cp:lastPrinted>
  <dcterms:created xsi:type="dcterms:W3CDTF">2017-01-31T19:00:00Z</dcterms:created>
  <dcterms:modified xsi:type="dcterms:W3CDTF">2017-02-08T22:28:00Z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0x010100802DED44F503B043B64F661D1EA7E0CF</vt:lpwstr>
  </property>
  <property fmtid="{D5CDD505-2E9C-101B-9397-08002B2CF9AE}" pid="3" name="_dlc_DocIdItemGuid">
    <vt:lpwstr>30dfb639-0b28-4f17-9077-aae01812d1cf</vt:lpwstr>
  </property>
</Properties>
</file>